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04CB" w14:textId="70EA1E83" w:rsidR="00196AB7" w:rsidRPr="00FD5E00" w:rsidRDefault="00196AB7" w:rsidP="00196AB7">
      <w:pPr>
        <w:tabs>
          <w:tab w:val="center" w:pos="4536"/>
          <w:tab w:val="right" w:pos="8280"/>
          <w:tab w:val="right" w:pos="9639"/>
        </w:tabs>
        <w:ind w:right="2"/>
        <w:rPr>
          <w:rFonts w:ascii="Arial" w:hAnsi="Arial" w:cs="Arial"/>
          <w:b/>
          <w:bCs/>
          <w:sz w:val="21"/>
        </w:rPr>
      </w:pPr>
      <w:r w:rsidRPr="00FD5E00">
        <w:rPr>
          <w:rFonts w:ascii="Arial" w:hAnsi="Arial" w:cs="Arial"/>
          <w:b/>
          <w:bCs/>
          <w:sz w:val="21"/>
        </w:rPr>
        <w:t>3GPP TSG RAN WG1 #10</w:t>
      </w:r>
      <w:r w:rsidR="001B211C">
        <w:rPr>
          <w:rFonts w:ascii="Arial" w:hAnsi="Arial" w:cs="Arial"/>
          <w:b/>
          <w:bCs/>
          <w:sz w:val="21"/>
        </w:rPr>
        <w:t>7</w:t>
      </w:r>
      <w:r w:rsidRPr="00FD5E00">
        <w:rPr>
          <w:rFonts w:ascii="Arial" w:hAnsi="Arial" w:cs="Arial"/>
          <w:b/>
          <w:bCs/>
          <w:sz w:val="21"/>
        </w:rPr>
        <w:t>-e</w:t>
      </w:r>
      <w:r w:rsidRPr="00FD5E00">
        <w:rPr>
          <w:rFonts w:ascii="Arial" w:hAnsi="Arial" w:cs="Arial"/>
          <w:b/>
          <w:bCs/>
          <w:sz w:val="21"/>
        </w:rPr>
        <w:tab/>
      </w:r>
      <w:r w:rsidRPr="00FD5E00">
        <w:rPr>
          <w:rFonts w:ascii="Arial" w:hAnsi="Arial" w:cs="Arial"/>
          <w:b/>
          <w:bCs/>
          <w:sz w:val="21"/>
        </w:rPr>
        <w:tab/>
        <w:t>R1-21</w:t>
      </w:r>
      <w:r w:rsidR="009358C7" w:rsidRPr="009358C7">
        <w:rPr>
          <w:rFonts w:ascii="Arial" w:hAnsi="Arial" w:cs="Arial"/>
          <w:b/>
          <w:bCs/>
          <w:sz w:val="21"/>
        </w:rPr>
        <w:t>10992</w:t>
      </w:r>
    </w:p>
    <w:p w14:paraId="52418882" w14:textId="04A0C839" w:rsidR="00196AB7" w:rsidRPr="00FD5E00" w:rsidRDefault="00196AB7" w:rsidP="00196AB7">
      <w:pPr>
        <w:tabs>
          <w:tab w:val="center" w:pos="4536"/>
          <w:tab w:val="right" w:pos="9072"/>
        </w:tabs>
        <w:rPr>
          <w:rFonts w:ascii="Arial" w:eastAsia="MS Mincho" w:hAnsi="Arial" w:cs="Arial"/>
          <w:b/>
          <w:bCs/>
          <w:sz w:val="21"/>
          <w:lang w:eastAsia="ja-JP"/>
        </w:rPr>
      </w:pPr>
      <w:r w:rsidRPr="00FD5E00">
        <w:rPr>
          <w:rFonts w:ascii="Arial" w:eastAsia="MS Mincho" w:hAnsi="Arial" w:cs="Arial"/>
          <w:b/>
          <w:bCs/>
          <w:sz w:val="21"/>
          <w:lang w:eastAsia="ja-JP"/>
        </w:rPr>
        <w:t xml:space="preserve">e-Meeting, </w:t>
      </w:r>
      <w:r w:rsidR="001B211C">
        <w:rPr>
          <w:rFonts w:ascii="Arial" w:eastAsia="MS Mincho" w:hAnsi="Arial" w:cs="Arial"/>
          <w:b/>
          <w:bCs/>
          <w:sz w:val="21"/>
          <w:lang w:eastAsia="ja-JP"/>
        </w:rPr>
        <w:t>November</w:t>
      </w:r>
      <w:r w:rsidRPr="00FD5E00">
        <w:rPr>
          <w:rFonts w:ascii="Arial" w:eastAsia="MS Mincho" w:hAnsi="Arial" w:cs="Arial"/>
          <w:b/>
          <w:bCs/>
          <w:sz w:val="21"/>
          <w:lang w:eastAsia="ja-JP"/>
        </w:rPr>
        <w:t xml:space="preserve"> 1</w:t>
      </w:r>
      <w:r w:rsidR="0079060C">
        <w:rPr>
          <w:rFonts w:ascii="Arial" w:eastAsia="MS Mincho" w:hAnsi="Arial" w:cs="Arial"/>
          <w:b/>
          <w:bCs/>
          <w:sz w:val="21"/>
          <w:lang w:eastAsia="ja-JP"/>
        </w:rPr>
        <w:t>1</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xml:space="preserve"> – </w:t>
      </w:r>
      <w:r w:rsidR="0079060C">
        <w:rPr>
          <w:rFonts w:ascii="Arial" w:eastAsia="MS Mincho" w:hAnsi="Arial" w:cs="Arial"/>
          <w:b/>
          <w:bCs/>
          <w:sz w:val="21"/>
          <w:lang w:eastAsia="ja-JP"/>
        </w:rPr>
        <w:t>19</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422078B"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6227A8" w:rsidRPr="006227A8">
        <w:rPr>
          <w:rFonts w:cs="Arial"/>
          <w:sz w:val="22"/>
          <w:szCs w:val="22"/>
        </w:rPr>
        <w:t>Remaining issues</w:t>
      </w:r>
      <w:bookmarkStart w:id="0" w:name="_GoBack"/>
      <w:bookmarkEnd w:id="0"/>
      <w:r w:rsidR="000D2E8A" w:rsidRPr="000D2E8A">
        <w:rPr>
          <w:rFonts w:cs="Arial"/>
          <w:sz w:val="22"/>
          <w:szCs w:val="22"/>
        </w:rPr>
        <w:t xml:space="preserve"> on inter-cell MTRP operation</w:t>
      </w:r>
    </w:p>
    <w:p w14:paraId="546EB34E" w14:textId="3857A54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475F3AA4" w14:textId="5DE94B19" w:rsidR="00816294" w:rsidRDefault="001E5AED" w:rsidP="00D16C5C">
      <w:pPr>
        <w:spacing w:beforeLines="50" w:before="120"/>
        <w:rPr>
          <w:rFonts w:eastAsia="宋体"/>
          <w:lang w:val="en-GB" w:eastAsia="zh-CN"/>
        </w:rPr>
      </w:pPr>
      <w:r>
        <w:rPr>
          <w:rFonts w:eastAsia="宋体"/>
          <w:lang w:val="en-GB" w:eastAsia="zh-CN"/>
        </w:rPr>
        <w:t xml:space="preserve">Most critical issues have been resolved in </w:t>
      </w:r>
      <w:r w:rsidR="009E7D43">
        <w:rPr>
          <w:rFonts w:eastAsia="宋体"/>
          <w:lang w:val="en-GB" w:eastAsia="zh-CN"/>
        </w:rPr>
        <w:t>previous RAN1 meetings. There are few issues could be further discussed, i</w:t>
      </w:r>
      <w:r w:rsidR="008E44BC">
        <w:rPr>
          <w:rFonts w:eastAsia="宋体"/>
          <w:lang w:val="en-GB" w:eastAsia="zh-CN"/>
        </w:rPr>
        <w:t xml:space="preserve">n this contribution we discuss </w:t>
      </w:r>
      <w:r w:rsidR="009E7D43">
        <w:rPr>
          <w:rFonts w:eastAsia="宋体"/>
          <w:lang w:val="en-GB" w:eastAsia="zh-CN"/>
        </w:rPr>
        <w:t>few</w:t>
      </w:r>
      <w:r w:rsidR="008E44BC">
        <w:rPr>
          <w:rFonts w:eastAsia="宋体"/>
          <w:lang w:val="en-GB" w:eastAsia="zh-CN"/>
        </w:rPr>
        <w:t xml:space="preserve"> issues</w:t>
      </w:r>
      <w:r w:rsidR="009E7D43">
        <w:rPr>
          <w:rFonts w:eastAsia="宋体"/>
          <w:lang w:val="en-GB" w:eastAsia="zh-CN"/>
        </w:rPr>
        <w:t xml:space="preserve"> which deserve concluding.</w:t>
      </w:r>
      <w:r w:rsidR="00540DDE">
        <w:rPr>
          <w:rFonts w:cs="Times"/>
        </w:rPr>
        <w:t xml:space="preserve"> </w:t>
      </w:r>
      <w:r w:rsidR="0056684E" w:rsidRPr="002C6C26">
        <w:rPr>
          <w:rFonts w:cs="Times"/>
        </w:rPr>
        <w:t> </w:t>
      </w:r>
      <w:r w:rsidR="00753C5A">
        <w:rPr>
          <w:rFonts w:cs="Times"/>
        </w:rPr>
        <w:t xml:space="preserve">In [2], many proposals from individual companies are listed in others sections, according to the comments received during email discussion during RAN1#106b-e, there seem to be no consensus on any of them. </w:t>
      </w:r>
      <w:r w:rsidR="0046692B">
        <w:rPr>
          <w:rFonts w:cs="Times"/>
        </w:rPr>
        <w:t>Those can be handled in this meeting if there is consensus.</w:t>
      </w:r>
    </w:p>
    <w:p w14:paraId="61CACB8A" w14:textId="77777777" w:rsidR="009E7D43" w:rsidRDefault="009E7D43" w:rsidP="009E7D43">
      <w:pPr>
        <w:spacing w:beforeLines="50" w:before="120"/>
        <w:rPr>
          <w:rFonts w:eastAsia="宋体"/>
          <w:lang w:val="en-GB" w:eastAsia="zh-CN"/>
        </w:rPr>
      </w:pPr>
      <w:r>
        <w:rPr>
          <w:rFonts w:eastAsia="宋体"/>
          <w:lang w:val="en-GB" w:eastAsia="zh-CN"/>
        </w:rPr>
        <w:t>Agreements made in previous meeting can be found in Appendix.</w:t>
      </w:r>
    </w:p>
    <w:p w14:paraId="12EB9678" w14:textId="77777777" w:rsidR="003A021F" w:rsidRPr="0085551C" w:rsidRDefault="003A021F" w:rsidP="00FE4255">
      <w:pPr>
        <w:pStyle w:val="a0"/>
        <w:snapToGrid w:val="0"/>
        <w:spacing w:beforeLines="50" w:before="120"/>
        <w:rPr>
          <w:rFonts w:eastAsia="宋体"/>
          <w:b/>
          <w:bCs/>
          <w:lang w:val="en-GB" w:eastAsia="zh-CN"/>
        </w:rPr>
      </w:pPr>
    </w:p>
    <w:p w14:paraId="1A8A1FB8" w14:textId="62F9B4F8" w:rsidR="007A2B21" w:rsidRDefault="007A2B21" w:rsidP="00931588">
      <w:pPr>
        <w:pStyle w:val="title1"/>
      </w:pPr>
      <w:r>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10BFDBB4"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w:t>
      </w:r>
      <w:proofErr w:type="spellStart"/>
      <w:r w:rsidR="00A87AB4">
        <w:rPr>
          <w:rFonts w:eastAsiaTheme="minorEastAsia"/>
          <w:szCs w:val="22"/>
          <w:lang w:val="en-GB" w:eastAsia="zh-CN"/>
        </w:rPr>
        <w:t>signaling</w:t>
      </w:r>
      <w:proofErr w:type="spellEnd"/>
      <w:r w:rsidR="00A87AB4">
        <w:rPr>
          <w:rFonts w:eastAsiaTheme="minorEastAsia"/>
          <w:szCs w:val="22"/>
          <w:lang w:val="en-GB" w:eastAsia="zh-CN"/>
        </w:rPr>
        <w:t>)</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SSB of another PCI, UE may begin to decode the SIB information of the target cell. It should be clarified whether such behavio</w:t>
      </w:r>
      <w:r w:rsidR="007A669E">
        <w:rPr>
          <w:rFonts w:eastAsiaTheme="minorEastAsia"/>
          <w:szCs w:val="22"/>
          <w:lang w:val="en-GB" w:eastAsia="zh-CN"/>
        </w:rPr>
        <w:t>u</w:t>
      </w:r>
      <w:r w:rsidR="00371AB2">
        <w:rPr>
          <w:rFonts w:eastAsiaTheme="minorEastAsia"/>
          <w:szCs w:val="22"/>
          <w:lang w:val="en-GB" w:eastAsia="zh-CN"/>
        </w:rPr>
        <w:t xml:space="preserve">r is allowed or not in Rel-17 </w:t>
      </w:r>
      <w:proofErr w:type="spellStart"/>
      <w:r w:rsidR="00371AB2">
        <w:rPr>
          <w:rFonts w:eastAsiaTheme="minorEastAsia"/>
          <w:szCs w:val="22"/>
          <w:lang w:val="en-GB" w:eastAsia="zh-CN"/>
        </w:rPr>
        <w:t>FeMIMO</w:t>
      </w:r>
      <w:proofErr w:type="spellEnd"/>
      <w:r w:rsidR="00371AB2">
        <w:rPr>
          <w:rFonts w:eastAsiaTheme="minorEastAsia"/>
          <w:szCs w:val="22"/>
          <w:lang w:val="en-GB" w:eastAsia="zh-CN"/>
        </w:rPr>
        <w:t xml:space="preserve">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53B43185"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46692B">
        <w:rPr>
          <w:rFonts w:eastAsia="宋体"/>
          <w:b/>
          <w:bCs/>
          <w:lang w:val="en-GB" w:eastAsia="zh-CN"/>
        </w:rPr>
        <w:t>1</w:t>
      </w:r>
      <w:r>
        <w:rPr>
          <w:rFonts w:eastAsia="宋体"/>
          <w:b/>
          <w:bCs/>
          <w:lang w:val="en-GB" w:eastAsia="zh-CN"/>
        </w:rPr>
        <w:t xml:space="preserve">: </w:t>
      </w:r>
      <w:r w:rsidR="00AE4B30">
        <w:rPr>
          <w:rFonts w:eastAsia="宋体" w:hint="eastAsia"/>
          <w:b/>
          <w:bCs/>
          <w:lang w:val="en-GB" w:eastAsia="zh-CN"/>
        </w:rPr>
        <w:t>Clarify</w:t>
      </w:r>
      <w:r w:rsidR="00AE4B30">
        <w:rPr>
          <w:rFonts w:eastAsia="宋体"/>
          <w:b/>
          <w:bCs/>
          <w:lang w:val="en-GB" w:eastAsia="zh-CN"/>
        </w:rPr>
        <w:t xml:space="preserve"> that it is not expected for </w:t>
      </w:r>
      <w:r>
        <w:rPr>
          <w:rFonts w:eastAsia="宋体"/>
          <w:b/>
          <w:bCs/>
          <w:lang w:val="en-GB" w:eastAsia="zh-CN"/>
        </w:rPr>
        <w:t xml:space="preserve">CORESETs </w:t>
      </w:r>
      <w:r w:rsidR="00AE4B30">
        <w:rPr>
          <w:rFonts w:eastAsia="宋体" w:hint="eastAsia"/>
          <w:b/>
          <w:bCs/>
          <w:lang w:val="en-GB" w:eastAsia="zh-CN"/>
        </w:rPr>
        <w:t>associated</w:t>
      </w:r>
      <w:r w:rsidR="00AE4B30">
        <w:rPr>
          <w:rFonts w:eastAsia="宋体"/>
          <w:b/>
          <w:bCs/>
          <w:lang w:val="en-GB" w:eastAsia="zh-CN"/>
        </w:rPr>
        <w:t xml:space="preserve"> </w:t>
      </w:r>
      <w:r>
        <w:rPr>
          <w:rFonts w:eastAsia="宋体"/>
          <w:b/>
          <w:bCs/>
          <w:lang w:val="en-GB" w:eastAsia="zh-CN"/>
        </w:rPr>
        <w:t xml:space="preserve">with type 0/1/2 SS </w:t>
      </w:r>
      <w:r w:rsidR="00AE4B30">
        <w:rPr>
          <w:rFonts w:eastAsia="宋体"/>
          <w:b/>
          <w:bCs/>
          <w:lang w:val="en-GB" w:eastAsia="zh-CN"/>
        </w:rPr>
        <w:t>to be</w:t>
      </w:r>
      <w:r>
        <w:rPr>
          <w:rFonts w:eastAsia="宋体"/>
          <w:b/>
          <w:bCs/>
          <w:lang w:val="en-GB" w:eastAsia="zh-CN"/>
        </w:rPr>
        <w:t xml:space="preserve"> configured/activated with TCI states associated with SSB of PCI</w:t>
      </w:r>
      <w:r w:rsidR="00AE4B30">
        <w:rPr>
          <w:rFonts w:eastAsia="宋体"/>
          <w:b/>
          <w:bCs/>
          <w:lang w:val="en-GB" w:eastAsia="zh-CN"/>
        </w:rPr>
        <w:t xml:space="preserve"> different from the serving cell PCI</w:t>
      </w:r>
      <w:r>
        <w:rPr>
          <w:rFonts w:eastAsia="宋体" w:hint="eastAsia"/>
          <w:b/>
          <w:bCs/>
          <w:lang w:val="en-GB" w:eastAsia="zh-CN"/>
        </w:rPr>
        <w:t>.</w:t>
      </w:r>
    </w:p>
    <w:p w14:paraId="3D072F79" w14:textId="77777777" w:rsidR="00931588" w:rsidRDefault="00931588" w:rsidP="00F22BD1">
      <w:pPr>
        <w:pStyle w:val="a0"/>
        <w:snapToGrid w:val="0"/>
        <w:spacing w:beforeLines="50" w:before="120"/>
        <w:rPr>
          <w:rFonts w:eastAsia="宋体"/>
          <w:b/>
          <w:bCs/>
          <w:lang w:val="en-GB" w:eastAsia="zh-CN"/>
        </w:rPr>
      </w:pPr>
    </w:p>
    <w:p w14:paraId="6A1E393C" w14:textId="38CB9EA8" w:rsidR="00B459B2" w:rsidRDefault="00B459B2" w:rsidP="007E6ED6">
      <w:pPr>
        <w:pStyle w:val="title1"/>
      </w:pPr>
      <w:r>
        <w:rPr>
          <w:rFonts w:hint="eastAsia"/>
        </w:rPr>
        <w:t xml:space="preserve">On rate matching </w:t>
      </w:r>
      <w:r>
        <w:t xml:space="preserve">of non-serving cell </w:t>
      </w:r>
      <w:r w:rsidR="002C2B7D">
        <w:t>SSB</w:t>
      </w:r>
    </w:p>
    <w:p w14:paraId="799B1ECF" w14:textId="4C0B9EB0" w:rsidR="00BC40A0" w:rsidRDefault="00BC40A0" w:rsidP="00B459B2">
      <w:pPr>
        <w:rPr>
          <w:rFonts w:cs="Times"/>
          <w:szCs w:val="20"/>
        </w:rPr>
      </w:pPr>
      <w:r>
        <w:rPr>
          <w:rFonts w:eastAsiaTheme="minorEastAsia"/>
          <w:lang w:eastAsia="zh-CN"/>
        </w:rPr>
        <w:t xml:space="preserve">In RAN1#104-e, it was agreed that </w:t>
      </w:r>
      <w:r w:rsidRPr="002003D4">
        <w:rPr>
          <w:rFonts w:cs="Times"/>
          <w:szCs w:val="20"/>
        </w:rPr>
        <w:t>PDSCH/PDCCH from non-serving cell (PCI) associated with TCI state and/or QCL-info is rate matched around non-serving cell SSB with the same PCI</w:t>
      </w:r>
      <w:r>
        <w:rPr>
          <w:rFonts w:cs="Times"/>
          <w:szCs w:val="20"/>
        </w:rPr>
        <w:t xml:space="preserve">. However, </w:t>
      </w:r>
      <w:r w:rsidR="008D0189">
        <w:rPr>
          <w:rFonts w:cs="Times"/>
          <w:szCs w:val="20"/>
        </w:rPr>
        <w:t xml:space="preserve">following </w:t>
      </w:r>
      <w:r>
        <w:rPr>
          <w:rFonts w:cs="Times"/>
          <w:szCs w:val="20"/>
        </w:rPr>
        <w:t>two cases are left for further discussion:</w:t>
      </w:r>
    </w:p>
    <w:p w14:paraId="367AE6AF" w14:textId="77777777" w:rsidR="00BC40A0" w:rsidRPr="00BC40A0" w:rsidRDefault="00BC40A0" w:rsidP="00BC40A0">
      <w:pPr>
        <w:pStyle w:val="af2"/>
        <w:numPr>
          <w:ilvl w:val="0"/>
          <w:numId w:val="29"/>
        </w:numPr>
        <w:ind w:firstLineChars="0"/>
        <w:rPr>
          <w:rFonts w:ascii="Times New Roman" w:eastAsiaTheme="minorEastAsia" w:hAnsi="Times New Roman"/>
        </w:rPr>
      </w:pPr>
      <w:r w:rsidRPr="00BC40A0">
        <w:rPr>
          <w:rFonts w:ascii="Times New Roman" w:hAnsi="Times New Roman"/>
          <w:szCs w:val="20"/>
        </w:rPr>
        <w:t>whether PDSCH /PDCCH from serving cell (PCI) is rate matched around non-serving cell SSB</w:t>
      </w:r>
    </w:p>
    <w:p w14:paraId="73334EF5" w14:textId="2F974E23" w:rsidR="00BC40A0" w:rsidRPr="00BC40A0" w:rsidRDefault="00BC40A0" w:rsidP="00BC40A0">
      <w:pPr>
        <w:pStyle w:val="af2"/>
        <w:numPr>
          <w:ilvl w:val="0"/>
          <w:numId w:val="29"/>
        </w:numPr>
        <w:ind w:firstLineChars="0"/>
        <w:rPr>
          <w:rFonts w:ascii="Times New Roman" w:eastAsiaTheme="minorEastAsia" w:hAnsi="Times New Roman"/>
        </w:rPr>
      </w:pPr>
      <w:r w:rsidRPr="00BC40A0">
        <w:rPr>
          <w:rFonts w:ascii="Times New Roman" w:hAnsi="Times New Roman"/>
          <w:szCs w:val="20"/>
        </w:rPr>
        <w:t>whether PDSCH/PDCCH from non-serving cell (PCI) associated with TCI state and/or QCL-info is rate matched around serving cell SSB</w:t>
      </w:r>
      <w:r w:rsidRPr="00BC40A0">
        <w:rPr>
          <w:rFonts w:ascii="Times New Roman" w:eastAsiaTheme="minorEastAsia" w:hAnsi="Times New Roman"/>
        </w:rPr>
        <w:t xml:space="preserve"> </w:t>
      </w:r>
    </w:p>
    <w:p w14:paraId="74142A3C" w14:textId="7928194E" w:rsidR="003C3983" w:rsidRDefault="00F12E04" w:rsidP="00B459B2">
      <w:pP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may configure rate matching pattern </w:t>
      </w:r>
      <w:r>
        <w:rPr>
          <w:rFonts w:eastAsiaTheme="minorEastAsia"/>
          <w:lang w:eastAsia="zh-CN"/>
        </w:rPr>
        <w:t>including</w:t>
      </w:r>
      <w:r>
        <w:rPr>
          <w:rFonts w:eastAsiaTheme="minorEastAsia" w:hint="eastAsia"/>
          <w:lang w:eastAsia="zh-CN"/>
        </w:rPr>
        <w:t xml:space="preserve"> </w:t>
      </w:r>
      <w:r>
        <w:rPr>
          <w:rFonts w:eastAsiaTheme="minorEastAsia"/>
          <w:lang w:eastAsia="zh-CN"/>
        </w:rPr>
        <w:t xml:space="preserve">SSB pattern(s) by implementation, hence for flexibility of implementation further restriction on rate matching behavior seems </w:t>
      </w:r>
      <w:r w:rsidRPr="005516B4">
        <w:rPr>
          <w:rFonts w:eastAsiaTheme="minorEastAsia"/>
          <w:lang w:eastAsia="zh-CN"/>
        </w:rPr>
        <w:t>not necessary</w:t>
      </w:r>
      <w:r>
        <w:rPr>
          <w:rFonts w:eastAsiaTheme="minorEastAsia"/>
          <w:lang w:eastAsia="zh-CN"/>
        </w:rPr>
        <w:t xml:space="preserve">. </w:t>
      </w:r>
      <w:r w:rsidR="003C3983">
        <w:rPr>
          <w:rFonts w:eastAsiaTheme="minorEastAsia"/>
          <w:lang w:eastAsia="zh-CN"/>
        </w:rPr>
        <w:t xml:space="preserve"> </w:t>
      </w:r>
    </w:p>
    <w:p w14:paraId="70B517C0" w14:textId="0D297D0C" w:rsidR="003550EB" w:rsidRDefault="00BA5A2A" w:rsidP="003550EB">
      <w:pPr>
        <w:pStyle w:val="a0"/>
        <w:snapToGrid w:val="0"/>
        <w:spacing w:beforeLines="50" w:before="120"/>
        <w:rPr>
          <w:rFonts w:eastAsia="宋体"/>
          <w:b/>
          <w:bCs/>
          <w:lang w:val="en-GB" w:eastAsia="zh-CN"/>
        </w:rPr>
      </w:pPr>
      <w:r w:rsidRPr="00E26C60">
        <w:rPr>
          <w:rFonts w:eastAsia="宋体" w:hint="eastAsia"/>
          <w:b/>
          <w:bCs/>
          <w:lang w:val="en-GB" w:eastAsia="zh-CN"/>
        </w:rPr>
        <w:t>Proposal</w:t>
      </w:r>
      <w:r w:rsidR="00DE0E51">
        <w:rPr>
          <w:rFonts w:eastAsia="宋体"/>
          <w:b/>
          <w:bCs/>
          <w:lang w:val="en-GB" w:eastAsia="zh-CN"/>
        </w:rPr>
        <w:t xml:space="preserve"> </w:t>
      </w:r>
      <w:r w:rsidR="007A669E">
        <w:rPr>
          <w:rFonts w:eastAsia="宋体"/>
          <w:b/>
          <w:bCs/>
          <w:lang w:val="en-GB" w:eastAsia="zh-CN"/>
        </w:rPr>
        <w:t>2</w:t>
      </w:r>
      <w:r w:rsidRPr="00E26C60">
        <w:rPr>
          <w:rFonts w:eastAsia="宋体" w:hint="eastAsia"/>
          <w:b/>
          <w:bCs/>
          <w:lang w:val="en-GB" w:eastAsia="zh-CN"/>
        </w:rPr>
        <w:t xml:space="preserve">: </w:t>
      </w:r>
      <w:r w:rsidR="000850F1">
        <w:rPr>
          <w:rFonts w:eastAsia="宋体"/>
          <w:b/>
          <w:bCs/>
          <w:lang w:val="en-GB" w:eastAsia="zh-CN"/>
        </w:rPr>
        <w:t xml:space="preserve">PDSCH in non-serving cell </w:t>
      </w:r>
      <w:r w:rsidR="003550EB">
        <w:rPr>
          <w:rFonts w:eastAsia="宋体"/>
          <w:b/>
          <w:bCs/>
          <w:lang w:val="en-GB" w:eastAsia="zh-CN"/>
        </w:rPr>
        <w:t>is</w:t>
      </w:r>
      <w:r w:rsidR="000850F1">
        <w:rPr>
          <w:rFonts w:eastAsia="宋体"/>
          <w:b/>
          <w:bCs/>
          <w:lang w:val="en-GB" w:eastAsia="zh-CN"/>
        </w:rPr>
        <w:t xml:space="preserve"> not rate match</w:t>
      </w:r>
      <w:r w:rsidR="003550EB">
        <w:rPr>
          <w:rFonts w:eastAsia="宋体"/>
          <w:b/>
          <w:bCs/>
          <w:lang w:val="en-GB" w:eastAsia="zh-CN"/>
        </w:rPr>
        <w:t>ed</w:t>
      </w:r>
      <w:r w:rsidR="000850F1">
        <w:rPr>
          <w:rFonts w:eastAsia="宋体"/>
          <w:b/>
          <w:bCs/>
          <w:lang w:val="en-GB" w:eastAsia="zh-CN"/>
        </w:rPr>
        <w:t xml:space="preserve"> around SSB </w:t>
      </w:r>
      <w:r w:rsidR="00DE0E51">
        <w:rPr>
          <w:rFonts w:eastAsia="宋体"/>
          <w:b/>
          <w:bCs/>
          <w:lang w:val="en-GB" w:eastAsia="zh-CN"/>
        </w:rPr>
        <w:t xml:space="preserve">from serving cell and </w:t>
      </w:r>
      <w:r w:rsidR="003550EB">
        <w:rPr>
          <w:rFonts w:eastAsia="宋体"/>
          <w:b/>
          <w:bCs/>
          <w:lang w:val="en-GB" w:eastAsia="zh-CN"/>
        </w:rPr>
        <w:t>PDSCH in serving cell is not rate matched around SSB from non-serving cell.</w:t>
      </w:r>
    </w:p>
    <w:p w14:paraId="368E413C" w14:textId="607D322F" w:rsidR="00144E69" w:rsidRPr="001E0653" w:rsidRDefault="00144E69" w:rsidP="003550EB">
      <w:pPr>
        <w:pStyle w:val="a0"/>
        <w:snapToGrid w:val="0"/>
        <w:spacing w:beforeLines="50" w:before="120"/>
        <w:rPr>
          <w:rFonts w:eastAsiaTheme="minorEastAsia"/>
          <w:lang w:eastAsia="zh-CN"/>
        </w:rPr>
      </w:pPr>
      <w:r w:rsidRPr="001E0653">
        <w:rPr>
          <w:rFonts w:eastAsiaTheme="minorEastAsia"/>
          <w:lang w:eastAsia="zh-CN"/>
        </w:rPr>
        <w:t>Another issue that needs discussion is on how to interpret “PDSCH/PDCCH from non-serving cell (PCI)” in the following agreement</w:t>
      </w:r>
      <w:r>
        <w:rPr>
          <w:rFonts w:eastAsiaTheme="minorEastAsia"/>
          <w:lang w:eastAsia="zh-CN"/>
        </w:rPr>
        <w:t xml:space="preserve">: </w:t>
      </w:r>
    </w:p>
    <w:p w14:paraId="35E3F6C8" w14:textId="77777777" w:rsidR="00144E69" w:rsidRPr="004F62D8" w:rsidRDefault="00144E69" w:rsidP="00144E69">
      <w:pPr>
        <w:rPr>
          <w:rFonts w:cs="Times"/>
          <w:b/>
          <w:bCs/>
          <w:i/>
          <w:szCs w:val="21"/>
          <w:lang w:eastAsia="zh-CN"/>
        </w:rPr>
      </w:pPr>
      <w:r w:rsidRPr="004F62D8">
        <w:rPr>
          <w:rFonts w:cs="Times"/>
          <w:b/>
          <w:bCs/>
          <w:i/>
          <w:szCs w:val="21"/>
          <w:highlight w:val="green"/>
          <w:lang w:eastAsia="zh-CN"/>
        </w:rPr>
        <w:t>Agreement</w:t>
      </w:r>
    </w:p>
    <w:p w14:paraId="057F1F44" w14:textId="77777777" w:rsidR="00144E69" w:rsidRPr="004F62D8" w:rsidRDefault="00144E69" w:rsidP="00144E69">
      <w:pPr>
        <w:rPr>
          <w:rFonts w:cs="Times"/>
          <w:i/>
          <w:szCs w:val="21"/>
          <w:lang w:eastAsia="zh-CN"/>
        </w:rPr>
      </w:pPr>
      <w:r w:rsidRPr="004F62D8">
        <w:rPr>
          <w:rFonts w:cs="Times"/>
          <w:i/>
          <w:szCs w:val="21"/>
          <w:lang w:eastAsia="zh-CN"/>
        </w:rPr>
        <w:t>Agree on scheme1</w:t>
      </w:r>
    </w:p>
    <w:p w14:paraId="78DF278D" w14:textId="77777777" w:rsidR="00144E69" w:rsidRPr="004F62D8" w:rsidRDefault="00144E69" w:rsidP="00144E69">
      <w:pPr>
        <w:pStyle w:val="af2"/>
        <w:widowControl/>
        <w:numPr>
          <w:ilvl w:val="0"/>
          <w:numId w:val="26"/>
        </w:numPr>
        <w:shd w:val="clear" w:color="auto" w:fill="FFFFFF"/>
        <w:spacing w:after="0" w:line="259" w:lineRule="auto"/>
        <w:ind w:firstLineChars="0"/>
        <w:contextualSpacing/>
        <w:jc w:val="left"/>
        <w:rPr>
          <w:rFonts w:cs="Times"/>
          <w:i/>
          <w:szCs w:val="20"/>
        </w:rPr>
      </w:pPr>
      <w:r w:rsidRPr="004F62D8">
        <w:rPr>
          <w:rFonts w:cs="Times"/>
          <w:i/>
          <w:szCs w:val="20"/>
        </w:rPr>
        <w:lastRenderedPageBreak/>
        <w:t>Scheme1: PDSCH/PDCCH from non-serving cell (PCI) associated with TCI state and/or QCL-info is rate matched around non-serving cell SSB with the same PCI</w:t>
      </w:r>
    </w:p>
    <w:p w14:paraId="23FD40BD" w14:textId="77777777" w:rsidR="00144E69" w:rsidRPr="004F62D8" w:rsidRDefault="00144E69" w:rsidP="00144E69">
      <w:pPr>
        <w:pStyle w:val="af2"/>
        <w:widowControl/>
        <w:numPr>
          <w:ilvl w:val="0"/>
          <w:numId w:val="26"/>
        </w:numPr>
        <w:shd w:val="clear" w:color="auto" w:fill="FFFFFF"/>
        <w:spacing w:after="0" w:line="259" w:lineRule="auto"/>
        <w:ind w:firstLineChars="0"/>
        <w:contextualSpacing/>
        <w:jc w:val="left"/>
        <w:rPr>
          <w:rFonts w:cs="Times"/>
          <w:i/>
          <w:szCs w:val="20"/>
        </w:rPr>
      </w:pPr>
      <w:r w:rsidRPr="004F62D8">
        <w:rPr>
          <w:rFonts w:cs="Times"/>
          <w:i/>
          <w:szCs w:val="20"/>
        </w:rPr>
        <w:t xml:space="preserve">FFS: whether PDSCH /PDCCH from serving cell (PCI) is rate matched around non-serving cell SSB </w:t>
      </w:r>
    </w:p>
    <w:p w14:paraId="45A95785" w14:textId="77777777" w:rsidR="00144E69" w:rsidRPr="004F62D8" w:rsidRDefault="00144E69" w:rsidP="00144E69">
      <w:pPr>
        <w:pStyle w:val="af2"/>
        <w:widowControl/>
        <w:numPr>
          <w:ilvl w:val="0"/>
          <w:numId w:val="26"/>
        </w:numPr>
        <w:shd w:val="clear" w:color="auto" w:fill="FFFFFF"/>
        <w:spacing w:after="0" w:line="259" w:lineRule="auto"/>
        <w:ind w:firstLineChars="0"/>
        <w:contextualSpacing/>
        <w:jc w:val="left"/>
        <w:rPr>
          <w:rFonts w:cs="Times"/>
          <w:i/>
          <w:szCs w:val="20"/>
        </w:rPr>
      </w:pPr>
      <w:r w:rsidRPr="004F62D8">
        <w:rPr>
          <w:rFonts w:cs="Times"/>
          <w:i/>
          <w:szCs w:val="20"/>
        </w:rPr>
        <w:t>FFS: whether PDSCH/PDCCH from non-serving cell (PCI) associated with TCI state and/or QCL-info is rate matched around serving cell SSB</w:t>
      </w:r>
    </w:p>
    <w:p w14:paraId="57D8DEB0" w14:textId="039F56E0" w:rsidR="00144E69" w:rsidRPr="001E0653" w:rsidRDefault="00144E69" w:rsidP="001E0653">
      <w:pPr>
        <w:autoSpaceDN w:val="0"/>
        <w:snapToGrid w:val="0"/>
        <w:spacing w:after="0" w:line="254" w:lineRule="auto"/>
        <w:rPr>
          <w:rFonts w:eastAsia="宋体"/>
          <w:lang w:eastAsia="zh-CN"/>
        </w:rPr>
      </w:pPr>
      <w:r>
        <w:rPr>
          <w:rFonts w:eastAsia="宋体"/>
          <w:lang w:eastAsia="zh-CN"/>
        </w:rPr>
        <w:t xml:space="preserve">The straightforward understanding on </w:t>
      </w:r>
      <w:r w:rsidRPr="002C021D">
        <w:rPr>
          <w:rFonts w:eastAsiaTheme="minorEastAsia"/>
          <w:lang w:eastAsia="zh-CN"/>
        </w:rPr>
        <w:t xml:space="preserve">“PDSCH/PDCCH from non-serving cell (PCI)” </w:t>
      </w:r>
      <w:r>
        <w:rPr>
          <w:rFonts w:eastAsia="宋体"/>
          <w:lang w:eastAsia="zh-CN"/>
        </w:rPr>
        <w:t xml:space="preserve">is the PDSCH/PDCCH </w:t>
      </w:r>
      <w:proofErr w:type="spellStart"/>
      <w:r>
        <w:rPr>
          <w:rFonts w:eastAsia="宋体"/>
          <w:lang w:eastAsia="zh-CN"/>
        </w:rPr>
        <w:t>QCL’ed</w:t>
      </w:r>
      <w:proofErr w:type="spellEnd"/>
      <w:r>
        <w:rPr>
          <w:rFonts w:eastAsia="宋体"/>
          <w:lang w:eastAsia="zh-CN"/>
        </w:rPr>
        <w:t xml:space="preserve"> indirectly with an SSB with different PCI from serving cell.</w:t>
      </w:r>
      <w:r w:rsidR="00532CF6">
        <w:rPr>
          <w:rFonts w:eastAsia="宋体"/>
          <w:lang w:eastAsia="zh-CN"/>
        </w:rPr>
        <w:t xml:space="preserve"> Note that it has already been clarified in 8.1.1 that </w:t>
      </w:r>
      <w:r w:rsidR="00532CF6">
        <w:rPr>
          <w:rFonts w:eastAsia="宋体"/>
        </w:rPr>
        <w:t>when RS X is an indirect QCL reference of a target channel, there exists at least one other source signal on the QCL chain between RS X and the target channel.</w:t>
      </w:r>
    </w:p>
    <w:p w14:paraId="251101E1" w14:textId="1A4E201E" w:rsidR="00144E69" w:rsidRDefault="00144E69" w:rsidP="00144E69">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w:t>
      </w:r>
      <w:r w:rsidR="007A669E">
        <w:rPr>
          <w:rFonts w:eastAsia="宋体"/>
          <w:b/>
          <w:bCs/>
          <w:lang w:val="en-GB" w:eastAsia="zh-CN"/>
        </w:rPr>
        <w:t>3</w:t>
      </w:r>
      <w:r w:rsidRPr="00E26C60">
        <w:rPr>
          <w:rFonts w:eastAsia="宋体" w:hint="eastAsia"/>
          <w:b/>
          <w:bCs/>
          <w:lang w:val="en-GB" w:eastAsia="zh-CN"/>
        </w:rPr>
        <w:t xml:space="preserve">: </w:t>
      </w:r>
      <w:r>
        <w:rPr>
          <w:rFonts w:eastAsia="宋体"/>
          <w:b/>
          <w:bCs/>
          <w:lang w:val="en-GB" w:eastAsia="zh-CN"/>
        </w:rPr>
        <w:t>Clarify</w:t>
      </w:r>
      <w:r w:rsidR="00532CF6">
        <w:rPr>
          <w:rFonts w:eastAsia="宋体"/>
          <w:b/>
          <w:bCs/>
          <w:lang w:val="en-GB" w:eastAsia="zh-CN"/>
        </w:rPr>
        <w:t xml:space="preserve"> that “</w:t>
      </w:r>
      <w:r w:rsidR="00532CF6" w:rsidRPr="001E0653">
        <w:rPr>
          <w:rFonts w:eastAsia="宋体"/>
          <w:b/>
          <w:bCs/>
          <w:lang w:val="en-GB" w:eastAsia="zh-CN"/>
        </w:rPr>
        <w:t>PDSCH</w:t>
      </w:r>
      <w:r w:rsidR="00532CF6">
        <w:rPr>
          <w:rFonts w:eastAsia="宋体"/>
          <w:b/>
          <w:bCs/>
          <w:lang w:val="en-GB" w:eastAsia="zh-CN"/>
        </w:rPr>
        <w:t xml:space="preserve"> </w:t>
      </w:r>
      <w:r w:rsidR="00532CF6" w:rsidRPr="001E0653">
        <w:rPr>
          <w:rFonts w:eastAsia="宋体"/>
          <w:b/>
          <w:bCs/>
          <w:lang w:val="en-GB" w:eastAsia="zh-CN"/>
        </w:rPr>
        <w:t>from non-serving cell (PCI)</w:t>
      </w:r>
      <w:r w:rsidR="00532CF6">
        <w:rPr>
          <w:rFonts w:eastAsia="宋体"/>
          <w:b/>
          <w:bCs/>
          <w:lang w:val="en-GB" w:eastAsia="zh-CN"/>
        </w:rPr>
        <w:t xml:space="preserve">” are those PDCH/PDCCH that use </w:t>
      </w:r>
      <w:r w:rsidR="00532CF6" w:rsidRPr="001E0653">
        <w:rPr>
          <w:rFonts w:eastAsia="宋体"/>
          <w:b/>
          <w:bCs/>
          <w:lang w:val="en-GB" w:eastAsia="zh-CN"/>
        </w:rPr>
        <w:t>SSB associated with a physical cell ID different from that of the serving cell as an indirect QCL reference</w:t>
      </w:r>
      <w:r>
        <w:rPr>
          <w:rFonts w:eastAsia="宋体"/>
          <w:b/>
          <w:bCs/>
          <w:lang w:val="en-GB" w:eastAsia="zh-CN"/>
        </w:rPr>
        <w:t>.</w:t>
      </w:r>
    </w:p>
    <w:p w14:paraId="65AB5386" w14:textId="77777777" w:rsidR="00532CF6" w:rsidRPr="001E0653" w:rsidRDefault="00532CF6" w:rsidP="001E0653">
      <w:pPr>
        <w:numPr>
          <w:ilvl w:val="0"/>
          <w:numId w:val="38"/>
        </w:numPr>
        <w:autoSpaceDN w:val="0"/>
        <w:snapToGrid w:val="0"/>
        <w:spacing w:after="0" w:line="254" w:lineRule="auto"/>
        <w:rPr>
          <w:rFonts w:eastAsia="宋体"/>
          <w:b/>
          <w:bCs/>
          <w:lang w:val="en-GB" w:eastAsia="zh-CN"/>
        </w:rPr>
      </w:pPr>
      <w:r w:rsidRPr="001E0653">
        <w:rPr>
          <w:rFonts w:eastAsia="宋体"/>
          <w:b/>
          <w:bCs/>
          <w:lang w:val="en-GB" w:eastAsia="zh-CN"/>
        </w:rPr>
        <w:t>Note: When RS X is an indirect QCL reference of a target channel, there exists at least one other source signal on the QCL chain between RS X and the target channel</w:t>
      </w:r>
    </w:p>
    <w:p w14:paraId="21EF4202" w14:textId="1308B717" w:rsidR="00532CF6" w:rsidRPr="001E0653" w:rsidRDefault="00241336" w:rsidP="00144E69">
      <w:pPr>
        <w:pStyle w:val="a0"/>
        <w:snapToGrid w:val="0"/>
        <w:spacing w:beforeLines="50" w:before="120"/>
        <w:rPr>
          <w:rFonts w:eastAsia="宋体"/>
          <w:lang w:eastAsia="zh-CN"/>
        </w:rPr>
      </w:pPr>
      <w:r w:rsidRPr="001E0653">
        <w:rPr>
          <w:rFonts w:eastAsia="宋体"/>
          <w:lang w:eastAsia="zh-CN"/>
        </w:rPr>
        <w:t>Ano</w:t>
      </w:r>
      <w:r>
        <w:rPr>
          <w:rFonts w:eastAsia="宋体"/>
          <w:lang w:eastAsia="zh-CN"/>
        </w:rPr>
        <w:t xml:space="preserve">ther aspect </w:t>
      </w:r>
      <w:r w:rsidR="001E0653">
        <w:rPr>
          <w:rFonts w:eastAsia="宋体"/>
          <w:lang w:eastAsia="zh-CN"/>
        </w:rPr>
        <w:t xml:space="preserve">to </w:t>
      </w:r>
      <w:r>
        <w:rPr>
          <w:rFonts w:eastAsia="宋体"/>
          <w:lang w:eastAsia="zh-CN"/>
        </w:rPr>
        <w:t>clarif</w:t>
      </w:r>
      <w:r w:rsidR="001E0653">
        <w:rPr>
          <w:rFonts w:eastAsia="宋体"/>
          <w:lang w:eastAsia="zh-CN"/>
        </w:rPr>
        <w:t>y</w:t>
      </w:r>
      <w:r>
        <w:rPr>
          <w:rFonts w:eastAsia="宋体"/>
          <w:lang w:eastAsia="zh-CN"/>
        </w:rPr>
        <w:t xml:space="preserve"> is th</w:t>
      </w:r>
      <w:r w:rsidR="001E0653">
        <w:rPr>
          <w:rFonts w:eastAsia="宋体"/>
          <w:lang w:eastAsia="zh-CN"/>
        </w:rPr>
        <w:t>at</w:t>
      </w:r>
      <w:r>
        <w:rPr>
          <w:rFonts w:eastAsia="宋体"/>
          <w:lang w:eastAsia="zh-CN"/>
        </w:rPr>
        <w:t xml:space="preserve"> </w:t>
      </w:r>
      <w:r w:rsidR="001E0653">
        <w:rPr>
          <w:rFonts w:eastAsia="宋体"/>
          <w:lang w:eastAsia="zh-CN"/>
        </w:rPr>
        <w:t>it</w:t>
      </w:r>
      <w:r>
        <w:rPr>
          <w:rFonts w:eastAsia="宋体"/>
          <w:lang w:eastAsia="zh-CN"/>
        </w:rPr>
        <w:t xml:space="preserve"> might only be applicable for PDSCH. </w:t>
      </w:r>
    </w:p>
    <w:p w14:paraId="6A9DF9BF" w14:textId="662B238A" w:rsidR="00241336" w:rsidRDefault="00241336" w:rsidP="00241336">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w:t>
      </w:r>
      <w:r w:rsidR="007A669E">
        <w:rPr>
          <w:rFonts w:eastAsia="宋体"/>
          <w:b/>
          <w:bCs/>
          <w:lang w:val="en-GB" w:eastAsia="zh-CN"/>
        </w:rPr>
        <w:t>4</w:t>
      </w:r>
      <w:r w:rsidRPr="00E26C60">
        <w:rPr>
          <w:rFonts w:eastAsia="宋体" w:hint="eastAsia"/>
          <w:b/>
          <w:bCs/>
          <w:lang w:val="en-GB" w:eastAsia="zh-CN"/>
        </w:rPr>
        <w:t xml:space="preserve">: </w:t>
      </w:r>
      <w:r>
        <w:rPr>
          <w:rFonts w:eastAsia="宋体"/>
          <w:b/>
          <w:bCs/>
          <w:lang w:val="en-GB" w:eastAsia="zh-CN"/>
        </w:rPr>
        <w:t>Update previous agreement on rate matching as following:</w:t>
      </w:r>
    </w:p>
    <w:p w14:paraId="01551C86" w14:textId="0685ABEE" w:rsidR="00241336" w:rsidRPr="001E0653" w:rsidRDefault="00241336" w:rsidP="00241336">
      <w:pPr>
        <w:pStyle w:val="af2"/>
        <w:widowControl/>
        <w:numPr>
          <w:ilvl w:val="0"/>
          <w:numId w:val="26"/>
        </w:numPr>
        <w:shd w:val="clear" w:color="auto" w:fill="FFFFFF"/>
        <w:spacing w:after="0" w:line="259" w:lineRule="auto"/>
        <w:ind w:firstLineChars="0"/>
        <w:contextualSpacing/>
        <w:jc w:val="left"/>
        <w:rPr>
          <w:rFonts w:ascii="Times New Roman" w:hAnsi="Times New Roman"/>
          <w:b/>
          <w:bCs/>
          <w:sz w:val="20"/>
          <w:szCs w:val="20"/>
          <w:lang w:val="en-GB"/>
        </w:rPr>
      </w:pPr>
      <w:r w:rsidRPr="001E0653">
        <w:rPr>
          <w:rFonts w:ascii="Times New Roman" w:hAnsi="Times New Roman"/>
          <w:b/>
          <w:bCs/>
          <w:sz w:val="20"/>
          <w:szCs w:val="20"/>
          <w:lang w:val="en-GB"/>
        </w:rPr>
        <w:t>PDSCH that use</w:t>
      </w:r>
      <w:r w:rsidR="003763EF">
        <w:rPr>
          <w:rFonts w:ascii="Times New Roman" w:hAnsi="Times New Roman"/>
          <w:b/>
          <w:bCs/>
          <w:sz w:val="20"/>
          <w:szCs w:val="20"/>
          <w:lang w:val="en-GB"/>
        </w:rPr>
        <w:t>s</w:t>
      </w:r>
      <w:r w:rsidRPr="001E0653">
        <w:rPr>
          <w:rFonts w:ascii="Times New Roman" w:hAnsi="Times New Roman"/>
          <w:b/>
          <w:bCs/>
          <w:sz w:val="20"/>
          <w:szCs w:val="20"/>
          <w:lang w:val="en-GB"/>
        </w:rPr>
        <w:t xml:space="preserve"> SSB associated with a physical cell ID as an indirect QCL reference is rate matched around SSB with the same PCI as the indirect QCL reference of the PDSCH.</w:t>
      </w:r>
    </w:p>
    <w:p w14:paraId="6FCAC45E" w14:textId="77777777" w:rsidR="00241336" w:rsidRPr="001E0653" w:rsidRDefault="00241336" w:rsidP="00241336">
      <w:pPr>
        <w:numPr>
          <w:ilvl w:val="1"/>
          <w:numId w:val="26"/>
        </w:numPr>
        <w:autoSpaceDN w:val="0"/>
        <w:snapToGrid w:val="0"/>
        <w:spacing w:after="0" w:line="254" w:lineRule="auto"/>
        <w:rPr>
          <w:rFonts w:eastAsia="宋体"/>
          <w:b/>
          <w:bCs/>
          <w:kern w:val="2"/>
          <w:szCs w:val="20"/>
          <w:lang w:val="en-GB" w:eastAsia="zh-CN"/>
        </w:rPr>
      </w:pPr>
      <w:r w:rsidRPr="001E0653">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2E653F92" w14:textId="7777777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1" w:name="OLE_LINK13"/>
      <w:bookmarkStart w:id="2" w:name="OLE_LINK14"/>
      <w:r>
        <w:t>Conclusions</w:t>
      </w:r>
    </w:p>
    <w:p w14:paraId="1C9A7085" w14:textId="55E391EB" w:rsidR="009C209B" w:rsidRDefault="00177D10" w:rsidP="00AD7A23">
      <w:pPr>
        <w:rPr>
          <w:rFonts w:eastAsia="宋体"/>
          <w:lang w:eastAsia="zh-CN"/>
        </w:rPr>
      </w:pPr>
      <w:r w:rsidRPr="00177D10">
        <w:rPr>
          <w:rFonts w:eastAsia="宋体"/>
          <w:lang w:eastAsia="zh-CN"/>
        </w:rPr>
        <w:t xml:space="preserve">In this paper </w:t>
      </w:r>
      <w:r w:rsidR="003763EF">
        <w:rPr>
          <w:rFonts w:eastAsia="宋体"/>
          <w:lang w:eastAsia="zh-CN"/>
        </w:rPr>
        <w:t>we discussed remaining issues on inter-cell multi-TRP operations, we have following proposals:</w:t>
      </w:r>
    </w:p>
    <w:p w14:paraId="00B23F85" w14:textId="77777777" w:rsidR="00931DDE" w:rsidRDefault="00931DDE" w:rsidP="00931DDE">
      <w:pPr>
        <w:pStyle w:val="a0"/>
        <w:snapToGrid w:val="0"/>
        <w:spacing w:beforeLines="50" w:before="120"/>
        <w:rPr>
          <w:rFonts w:eastAsia="宋体"/>
          <w:b/>
          <w:bCs/>
          <w:lang w:val="en-GB" w:eastAsia="zh-CN"/>
        </w:rPr>
      </w:pPr>
      <w:r>
        <w:rPr>
          <w:rFonts w:eastAsia="宋体"/>
          <w:b/>
          <w:bCs/>
          <w:lang w:val="en-GB" w:eastAsia="zh-CN"/>
        </w:rPr>
        <w:t xml:space="preserve">Proposal 1: </w:t>
      </w:r>
      <w:r>
        <w:rPr>
          <w:rFonts w:eastAsia="宋体" w:hint="eastAsia"/>
          <w:b/>
          <w:bCs/>
          <w:lang w:val="en-GB" w:eastAsia="zh-CN"/>
        </w:rPr>
        <w:t>Clarify</w:t>
      </w:r>
      <w:r>
        <w:rPr>
          <w:rFonts w:eastAsia="宋体"/>
          <w:b/>
          <w:bCs/>
          <w:lang w:val="en-GB" w:eastAsia="zh-CN"/>
        </w:rPr>
        <w:t xml:space="preserve"> that it is not expected for CORESETs </w:t>
      </w:r>
      <w:r>
        <w:rPr>
          <w:rFonts w:eastAsia="宋体" w:hint="eastAsia"/>
          <w:b/>
          <w:bCs/>
          <w:lang w:val="en-GB" w:eastAsia="zh-CN"/>
        </w:rPr>
        <w:t>associated</w:t>
      </w:r>
      <w:r>
        <w:rPr>
          <w:rFonts w:eastAsia="宋体"/>
          <w:b/>
          <w:bCs/>
          <w:lang w:val="en-GB" w:eastAsia="zh-CN"/>
        </w:rPr>
        <w:t xml:space="preserve"> with type 0/1/2 SS to be configured/activated with TCI states associated with SSB of PCI different from the serving cell PCI</w:t>
      </w:r>
      <w:r>
        <w:rPr>
          <w:rFonts w:eastAsia="宋体" w:hint="eastAsia"/>
          <w:b/>
          <w:bCs/>
          <w:lang w:val="en-GB" w:eastAsia="zh-CN"/>
        </w:rPr>
        <w:t>.</w:t>
      </w:r>
    </w:p>
    <w:p w14:paraId="73DAEBFC" w14:textId="309C1A22" w:rsidR="00931DDE" w:rsidRDefault="00931DDE" w:rsidP="00931DDE">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2</w:t>
      </w:r>
      <w:r w:rsidRPr="00E26C60">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3B9BA519" w14:textId="4F81359B" w:rsidR="00526B25" w:rsidRDefault="00526B25" w:rsidP="00526B25">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3</w:t>
      </w:r>
      <w:r w:rsidRPr="00E26C60">
        <w:rPr>
          <w:rFonts w:eastAsia="宋体" w:hint="eastAsia"/>
          <w:b/>
          <w:bCs/>
          <w:lang w:val="en-GB" w:eastAsia="zh-CN"/>
        </w:rPr>
        <w:t xml:space="preserve">: </w:t>
      </w:r>
      <w:r>
        <w:rPr>
          <w:rFonts w:eastAsia="宋体"/>
          <w:b/>
          <w:bCs/>
          <w:lang w:val="en-GB" w:eastAsia="zh-CN"/>
        </w:rPr>
        <w:t>Clarify that “</w:t>
      </w:r>
      <w:r w:rsidRPr="001E0653">
        <w:rPr>
          <w:rFonts w:eastAsia="宋体"/>
          <w:b/>
          <w:bCs/>
          <w:lang w:val="en-GB" w:eastAsia="zh-CN"/>
        </w:rPr>
        <w:t>PDSCH</w:t>
      </w:r>
      <w:r>
        <w:rPr>
          <w:rFonts w:eastAsia="宋体"/>
          <w:b/>
          <w:bCs/>
          <w:lang w:val="en-GB" w:eastAsia="zh-CN"/>
        </w:rPr>
        <w:t xml:space="preserve"> </w:t>
      </w:r>
      <w:r w:rsidRPr="001E0653">
        <w:rPr>
          <w:rFonts w:eastAsia="宋体"/>
          <w:b/>
          <w:bCs/>
          <w:lang w:val="en-GB" w:eastAsia="zh-CN"/>
        </w:rPr>
        <w:t>from non-serving cell (PCI)</w:t>
      </w:r>
      <w:r>
        <w:rPr>
          <w:rFonts w:eastAsia="宋体"/>
          <w:b/>
          <w:bCs/>
          <w:lang w:val="en-GB" w:eastAsia="zh-CN"/>
        </w:rPr>
        <w:t xml:space="preserve">” are those PDCH/PDCCH that use </w:t>
      </w:r>
      <w:r w:rsidRPr="001E0653">
        <w:rPr>
          <w:rFonts w:eastAsia="宋体"/>
          <w:b/>
          <w:bCs/>
          <w:lang w:val="en-GB" w:eastAsia="zh-CN"/>
        </w:rPr>
        <w:t>SSB associated with a physical cell ID different from that of the serving cell as an indirect QCL reference</w:t>
      </w:r>
      <w:r>
        <w:rPr>
          <w:rFonts w:eastAsia="宋体"/>
          <w:b/>
          <w:bCs/>
          <w:lang w:val="en-GB" w:eastAsia="zh-CN"/>
        </w:rPr>
        <w:t>.</w:t>
      </w:r>
    </w:p>
    <w:p w14:paraId="5D197D08" w14:textId="77777777" w:rsidR="00526B25" w:rsidRPr="001E0653" w:rsidRDefault="00526B25" w:rsidP="00526B25">
      <w:pPr>
        <w:numPr>
          <w:ilvl w:val="0"/>
          <w:numId w:val="38"/>
        </w:numPr>
        <w:autoSpaceDN w:val="0"/>
        <w:snapToGrid w:val="0"/>
        <w:spacing w:after="0" w:line="254" w:lineRule="auto"/>
        <w:rPr>
          <w:rFonts w:eastAsia="宋体"/>
          <w:b/>
          <w:bCs/>
          <w:lang w:val="en-GB" w:eastAsia="zh-CN"/>
        </w:rPr>
      </w:pPr>
      <w:r w:rsidRPr="001E0653">
        <w:rPr>
          <w:rFonts w:eastAsia="宋体"/>
          <w:b/>
          <w:bCs/>
          <w:lang w:val="en-GB" w:eastAsia="zh-CN"/>
        </w:rPr>
        <w:t>Note: When RS X is an indirect QCL reference of a target channel, there exists at least one other source signal on the QCL chain between RS X and the target channel</w:t>
      </w:r>
    </w:p>
    <w:p w14:paraId="481B28E7" w14:textId="77777777" w:rsidR="00526B25" w:rsidRDefault="00526B25" w:rsidP="00526B25">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4</w:t>
      </w:r>
      <w:r w:rsidRPr="00E26C60">
        <w:rPr>
          <w:rFonts w:eastAsia="宋体" w:hint="eastAsia"/>
          <w:b/>
          <w:bCs/>
          <w:lang w:val="en-GB" w:eastAsia="zh-CN"/>
        </w:rPr>
        <w:t xml:space="preserve">: </w:t>
      </w:r>
      <w:r>
        <w:rPr>
          <w:rFonts w:eastAsia="宋体"/>
          <w:b/>
          <w:bCs/>
          <w:lang w:val="en-GB" w:eastAsia="zh-CN"/>
        </w:rPr>
        <w:t>Update previous agreement on rate matching as following:</w:t>
      </w:r>
    </w:p>
    <w:p w14:paraId="54FD0095" w14:textId="77777777" w:rsidR="00526B25" w:rsidRPr="001E0653" w:rsidRDefault="00526B25" w:rsidP="00526B25">
      <w:pPr>
        <w:pStyle w:val="af2"/>
        <w:widowControl/>
        <w:numPr>
          <w:ilvl w:val="0"/>
          <w:numId w:val="26"/>
        </w:numPr>
        <w:shd w:val="clear" w:color="auto" w:fill="FFFFFF"/>
        <w:spacing w:after="0" w:line="259" w:lineRule="auto"/>
        <w:ind w:firstLineChars="0"/>
        <w:contextualSpacing/>
        <w:jc w:val="left"/>
        <w:rPr>
          <w:rFonts w:ascii="Times New Roman" w:hAnsi="Times New Roman"/>
          <w:b/>
          <w:bCs/>
          <w:sz w:val="20"/>
          <w:szCs w:val="20"/>
          <w:lang w:val="en-GB"/>
        </w:rPr>
      </w:pPr>
      <w:r w:rsidRPr="001E0653">
        <w:rPr>
          <w:rFonts w:ascii="Times New Roman" w:hAnsi="Times New Roman"/>
          <w:b/>
          <w:bCs/>
          <w:sz w:val="20"/>
          <w:szCs w:val="20"/>
          <w:lang w:val="en-GB"/>
        </w:rPr>
        <w:t>PDSCH that use</w:t>
      </w:r>
      <w:r>
        <w:rPr>
          <w:rFonts w:ascii="Times New Roman" w:hAnsi="Times New Roman"/>
          <w:b/>
          <w:bCs/>
          <w:sz w:val="20"/>
          <w:szCs w:val="20"/>
          <w:lang w:val="en-GB"/>
        </w:rPr>
        <w:t>s</w:t>
      </w:r>
      <w:r w:rsidRPr="001E0653">
        <w:rPr>
          <w:rFonts w:ascii="Times New Roman" w:hAnsi="Times New Roman"/>
          <w:b/>
          <w:bCs/>
          <w:sz w:val="20"/>
          <w:szCs w:val="20"/>
          <w:lang w:val="en-GB"/>
        </w:rPr>
        <w:t xml:space="preserve"> SSB associated with a physical cell ID as an indirect QCL reference is rate matched around SSB with the same PCI as the indirect QCL reference of the PDSCH.</w:t>
      </w:r>
    </w:p>
    <w:p w14:paraId="090C25BB" w14:textId="77777777" w:rsidR="00526B25" w:rsidRPr="001E0653" w:rsidRDefault="00526B25" w:rsidP="00526B25">
      <w:pPr>
        <w:numPr>
          <w:ilvl w:val="1"/>
          <w:numId w:val="26"/>
        </w:numPr>
        <w:autoSpaceDN w:val="0"/>
        <w:snapToGrid w:val="0"/>
        <w:spacing w:after="0" w:line="254" w:lineRule="auto"/>
        <w:rPr>
          <w:rFonts w:eastAsia="宋体"/>
          <w:b/>
          <w:bCs/>
          <w:kern w:val="2"/>
          <w:szCs w:val="20"/>
          <w:lang w:val="en-GB" w:eastAsia="zh-CN"/>
        </w:rPr>
      </w:pPr>
      <w:r w:rsidRPr="001E0653">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6E580E38" w14:textId="30881750" w:rsidR="009D05A5" w:rsidRPr="001E0653" w:rsidRDefault="009D05A5" w:rsidP="00931DDE">
      <w:pPr>
        <w:autoSpaceDN w:val="0"/>
        <w:snapToGrid w:val="0"/>
        <w:spacing w:after="0" w:line="254" w:lineRule="auto"/>
        <w:rPr>
          <w:rFonts w:eastAsia="宋体"/>
          <w:b/>
          <w:bCs/>
          <w:kern w:val="2"/>
          <w:szCs w:val="20"/>
          <w:lang w:val="en-GB" w:eastAsia="zh-CN"/>
        </w:rPr>
      </w:pPr>
    </w:p>
    <w:p w14:paraId="6E8A29DA" w14:textId="77777777" w:rsidR="003763EF" w:rsidRPr="003763EF" w:rsidRDefault="003763EF" w:rsidP="00AD7A23">
      <w:pPr>
        <w:rPr>
          <w:rFonts w:eastAsia="宋体"/>
          <w:lang w:val="en-GB" w:eastAsia="zh-CN"/>
        </w:rPr>
      </w:pP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1"/>
    <w:bookmarkEnd w:id="2"/>
    <w:p w14:paraId="1C016DF5" w14:textId="4274D7F4" w:rsidR="0079060C" w:rsidRDefault="0079060C" w:rsidP="00A87AB4">
      <w:pPr>
        <w:rPr>
          <w:rFonts w:eastAsia="宋体"/>
          <w:lang w:eastAsia="zh-CN"/>
        </w:rPr>
      </w:pPr>
      <w:r>
        <w:rPr>
          <w:rFonts w:eastAsia="宋体"/>
          <w:lang w:eastAsia="zh-CN"/>
        </w:rPr>
        <w:t>[</w:t>
      </w:r>
      <w:r w:rsidR="009E7D43">
        <w:rPr>
          <w:rFonts w:eastAsia="宋体"/>
          <w:lang w:eastAsia="zh-CN"/>
        </w:rPr>
        <w:t>1</w:t>
      </w:r>
      <w:r>
        <w:rPr>
          <w:rFonts w:eastAsia="宋体"/>
          <w:lang w:eastAsia="zh-CN"/>
        </w:rPr>
        <w:t>] RAN1#106</w:t>
      </w:r>
      <w:r w:rsidR="009E7D43">
        <w:rPr>
          <w:rFonts w:eastAsia="宋体"/>
          <w:lang w:eastAsia="zh-CN"/>
        </w:rPr>
        <w:t>b-</w:t>
      </w:r>
      <w:r>
        <w:rPr>
          <w:rFonts w:eastAsia="宋体"/>
          <w:lang w:eastAsia="zh-CN"/>
        </w:rPr>
        <w:t>e, Chairman’s notes</w:t>
      </w:r>
    </w:p>
    <w:p w14:paraId="0088D356" w14:textId="7431C93F" w:rsidR="009E7D43" w:rsidRDefault="009E7D43" w:rsidP="00A87AB4">
      <w:pPr>
        <w:rPr>
          <w:rFonts w:eastAsia="宋体"/>
          <w:lang w:eastAsia="zh-CN"/>
        </w:rPr>
      </w:pPr>
      <w:r>
        <w:rPr>
          <w:rFonts w:eastAsia="宋体"/>
          <w:lang w:eastAsia="zh-CN"/>
        </w:rPr>
        <w:t xml:space="preserve">[2] </w:t>
      </w:r>
      <w:r w:rsidRPr="009E7D43">
        <w:rPr>
          <w:rFonts w:eastAsia="宋体"/>
          <w:lang w:eastAsia="zh-CN"/>
        </w:rPr>
        <w:t>R1-2110482</w:t>
      </w:r>
      <w:r>
        <w:rPr>
          <w:rFonts w:eastAsia="宋体"/>
          <w:lang w:eastAsia="zh-CN"/>
        </w:rPr>
        <w:t>, “</w:t>
      </w:r>
      <w:r>
        <w:rPr>
          <w:rFonts w:cs="Arial"/>
          <w:sz w:val="22"/>
          <w:szCs w:val="22"/>
        </w:rPr>
        <w:t xml:space="preserve">Feature lead summary#1 on </w:t>
      </w:r>
      <w:bookmarkStart w:id="3" w:name="_Toc47778512"/>
      <w:r>
        <w:rPr>
          <w:rFonts w:cs="Arial"/>
          <w:sz w:val="22"/>
          <w:szCs w:val="22"/>
        </w:rPr>
        <w:t>Enhancements on Multi-TRP inter-cell operation</w:t>
      </w:r>
      <w:bookmarkEnd w:id="3"/>
      <w:r>
        <w:rPr>
          <w:rFonts w:eastAsia="宋体"/>
          <w:lang w:eastAsia="zh-CN"/>
        </w:rPr>
        <w:t>”, RAN1#106b-e</w:t>
      </w:r>
    </w:p>
    <w:p w14:paraId="40D54275" w14:textId="77777777" w:rsidR="00056FF5" w:rsidRPr="00177D10" w:rsidRDefault="00056FF5" w:rsidP="00A87AB4">
      <w:pPr>
        <w:rPr>
          <w:rFonts w:eastAsia="宋体"/>
          <w:lang w:eastAsia="zh-CN"/>
        </w:rPr>
      </w:pPr>
    </w:p>
    <w:p w14:paraId="0FA56592" w14:textId="541C0D8C" w:rsidR="00A87AB4" w:rsidRPr="00BE015C" w:rsidRDefault="00BE015C" w:rsidP="00BE015C">
      <w:pPr>
        <w:pStyle w:val="titlereference"/>
      </w:pPr>
      <w:r w:rsidRPr="00BE015C">
        <w:rPr>
          <w:rFonts w:hint="eastAsia"/>
        </w:rPr>
        <w:t>App</w:t>
      </w:r>
      <w:r w:rsidRPr="00BE015C">
        <w:t>endix</w:t>
      </w:r>
    </w:p>
    <w:p w14:paraId="53408B13" w14:textId="6E244239" w:rsidR="00BE015C" w:rsidRDefault="00BE015C" w:rsidP="000120AA">
      <w:pPr>
        <w:pStyle w:val="references"/>
        <w:numPr>
          <w:ilvl w:val="0"/>
          <w:numId w:val="0"/>
        </w:numPr>
        <w:ind w:left="357" w:hanging="357"/>
        <w:rPr>
          <w:bCs/>
        </w:rPr>
      </w:pPr>
    </w:p>
    <w:p w14:paraId="233717B0" w14:textId="77777777" w:rsidR="00BE015C" w:rsidRDefault="00BE015C" w:rsidP="00BE015C">
      <w:pPr>
        <w:spacing w:beforeLines="50" w:before="120"/>
        <w:rPr>
          <w:rFonts w:eastAsia="宋体"/>
          <w:lang w:val="en-GB" w:eastAsia="zh-CN"/>
        </w:rPr>
      </w:pPr>
      <w:r>
        <w:rPr>
          <w:rFonts w:eastAsia="宋体"/>
          <w:lang w:val="en-GB" w:eastAsia="zh-CN"/>
        </w:rPr>
        <w:lastRenderedPageBreak/>
        <w:t xml:space="preserve">In RAN1 #102-e meeting, the following agreements were made: </w:t>
      </w:r>
    </w:p>
    <w:tbl>
      <w:tblPr>
        <w:tblStyle w:val="aa"/>
        <w:tblW w:w="0" w:type="auto"/>
        <w:tblLook w:val="04A0" w:firstRow="1" w:lastRow="0" w:firstColumn="1" w:lastColumn="0" w:noHBand="0" w:noVBand="1"/>
      </w:tblPr>
      <w:tblGrid>
        <w:gridCol w:w="9060"/>
      </w:tblGrid>
      <w:tr w:rsidR="00BE015C" w14:paraId="01972116" w14:textId="77777777" w:rsidTr="00044849">
        <w:tc>
          <w:tcPr>
            <w:tcW w:w="9060" w:type="dxa"/>
          </w:tcPr>
          <w:p w14:paraId="13949275" w14:textId="77777777" w:rsidR="00BE015C" w:rsidRPr="008F0CD4" w:rsidRDefault="00BE015C" w:rsidP="00044849">
            <w:pPr>
              <w:rPr>
                <w:rFonts w:cs="Times"/>
                <w:b/>
                <w:highlight w:val="green"/>
                <w:lang w:eastAsia="x-none"/>
              </w:rPr>
            </w:pPr>
            <w:r w:rsidRPr="008F0CD4">
              <w:rPr>
                <w:rFonts w:cs="Times"/>
                <w:b/>
                <w:highlight w:val="green"/>
                <w:lang w:eastAsia="x-none"/>
              </w:rPr>
              <w:t>Agreement</w:t>
            </w:r>
          </w:p>
          <w:p w14:paraId="45C34BF9" w14:textId="77777777" w:rsidR="00BE015C" w:rsidRPr="00D16C5C" w:rsidRDefault="00BE015C" w:rsidP="00044849">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70467582"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5A16E533"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source and target RS types for RS transmitted from the non-serving cell </w:t>
            </w:r>
            <w:proofErr w:type="gramStart"/>
            <w:r w:rsidRPr="00D16C5C">
              <w:rPr>
                <w:rFonts w:ascii="Times New Roman" w:hAnsi="Times New Roman"/>
                <w:kern w:val="0"/>
                <w:sz w:val="20"/>
                <w:szCs w:val="24"/>
                <w:lang w:val="en-GB"/>
              </w:rPr>
              <w:t>TRP ;</w:t>
            </w:r>
            <w:proofErr w:type="gramEnd"/>
          </w:p>
          <w:p w14:paraId="3B63C1CD"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QCL types for RS transmitted from the non-serving cell </w:t>
            </w:r>
            <w:proofErr w:type="gramStart"/>
            <w:r w:rsidRPr="00D16C5C">
              <w:rPr>
                <w:rFonts w:ascii="Times New Roman" w:hAnsi="Times New Roman"/>
                <w:kern w:val="0"/>
                <w:sz w:val="20"/>
                <w:szCs w:val="24"/>
                <w:lang w:val="en-GB"/>
              </w:rPr>
              <w:t>TRP ;</w:t>
            </w:r>
            <w:proofErr w:type="gramEnd"/>
          </w:p>
          <w:p w14:paraId="7D0E9B01"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345D64C8"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Clarification on potential UE </w:t>
            </w:r>
            <w:proofErr w:type="spellStart"/>
            <w:r w:rsidRPr="00D16C5C">
              <w:rPr>
                <w:rFonts w:ascii="Times New Roman" w:hAnsi="Times New Roman"/>
                <w:kern w:val="0"/>
                <w:sz w:val="20"/>
                <w:szCs w:val="24"/>
                <w:lang w:val="en-GB"/>
              </w:rPr>
              <w:t>behavior</w:t>
            </w:r>
            <w:proofErr w:type="spellEnd"/>
            <w:r w:rsidRPr="00D16C5C">
              <w:rPr>
                <w:rFonts w:ascii="Times New Roman" w:hAnsi="Times New Roman"/>
                <w:kern w:val="0"/>
                <w:sz w:val="20"/>
                <w:szCs w:val="24"/>
                <w:lang w:val="en-GB"/>
              </w:rPr>
              <w:t xml:space="preserve"> for associating/multiplexing non-serving cell RS with other RS/channels;</w:t>
            </w:r>
          </w:p>
          <w:p w14:paraId="7DF02A63" w14:textId="77777777" w:rsidR="00BE015C" w:rsidRDefault="00BE015C" w:rsidP="00044849">
            <w:pPr>
              <w:pStyle w:val="af2"/>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1DDD0C0E" w14:textId="77777777" w:rsidR="00BE015C" w:rsidRDefault="00BE015C" w:rsidP="00BE01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1008B581" wp14:editId="3927CC0A">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156AAA4D"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816294" w:rsidRDefault="00BE015C" w:rsidP="00BE015C">
                            <w:pPr>
                              <w:rPr>
                                <w:b/>
                                <w:bCs/>
                              </w:rPr>
                            </w:pPr>
                            <w:r w:rsidRPr="00816294">
                              <w:rPr>
                                <w:b/>
                                <w:bCs/>
                              </w:rPr>
                              <w:t>For future meetings</w:t>
                            </w:r>
                          </w:p>
                          <w:p w14:paraId="18C709E9" w14:textId="77777777" w:rsidR="00BE015C" w:rsidRPr="00816294" w:rsidRDefault="00BE015C" w:rsidP="00BE015C">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08B581"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156AAA4D"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816294" w:rsidRDefault="00BE015C" w:rsidP="00BE015C">
                      <w:pPr>
                        <w:rPr>
                          <w:b/>
                          <w:bCs/>
                        </w:rPr>
                      </w:pPr>
                      <w:r w:rsidRPr="00816294">
                        <w:rPr>
                          <w:b/>
                          <w:bCs/>
                        </w:rPr>
                        <w:t>For future meetings</w:t>
                      </w:r>
                    </w:p>
                    <w:p w14:paraId="18C709E9" w14:textId="77777777" w:rsidR="00BE015C" w:rsidRPr="00816294" w:rsidRDefault="00BE015C" w:rsidP="00BE015C">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44243E5E" w14:textId="77777777" w:rsidR="00BE015C" w:rsidRDefault="00BE015C" w:rsidP="00BE015C">
      <w:pPr>
        <w:spacing w:beforeLines="50" w:before="120"/>
        <w:rPr>
          <w:rFonts w:eastAsia="宋体"/>
          <w:noProof/>
          <w:lang w:eastAsia="zh-CN"/>
        </w:rPr>
      </w:pPr>
    </w:p>
    <w:p w14:paraId="3D7973DA" w14:textId="77777777" w:rsidR="00BE015C" w:rsidRDefault="00BE015C" w:rsidP="00BE01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RAN1#104-e meeting, further agreements were made as below:</w:t>
      </w:r>
    </w:p>
    <w:p w14:paraId="775E504D" w14:textId="77777777" w:rsidR="00BE015C" w:rsidRDefault="00BE015C" w:rsidP="00BE015C">
      <w:pPr>
        <w:spacing w:beforeLines="50" w:before="120"/>
        <w:rPr>
          <w:rFonts w:eastAsia="宋体"/>
          <w:noProof/>
          <w:lang w:eastAsia="zh-CN"/>
        </w:rPr>
      </w:pPr>
    </w:p>
    <w:p w14:paraId="783B9F91" w14:textId="77777777" w:rsidR="00BE015C" w:rsidRDefault="00BE015C" w:rsidP="00BE015C">
      <w:pPr>
        <w:spacing w:beforeLines="50" w:before="120"/>
        <w:rPr>
          <w:rFonts w:eastAsia="宋体"/>
          <w:noProof/>
          <w:lang w:eastAsia="zh-CN"/>
        </w:rPr>
      </w:pPr>
    </w:p>
    <w:p w14:paraId="226578C9" w14:textId="77777777" w:rsidR="00BE015C" w:rsidRDefault="00BE015C" w:rsidP="00BE015C">
      <w:pPr>
        <w:spacing w:beforeLines="50" w:before="120"/>
        <w:rPr>
          <w:rFonts w:eastAsia="宋体"/>
          <w:noProof/>
          <w:lang w:eastAsia="zh-CN"/>
        </w:rPr>
      </w:pPr>
      <w:r w:rsidRPr="00816294">
        <w:rPr>
          <w:rFonts w:eastAsia="宋体"/>
          <w:noProof/>
          <w:lang w:eastAsia="zh-CN"/>
        </w:rPr>
        <w:lastRenderedPageBreak/>
        <mc:AlternateContent>
          <mc:Choice Requires="wps">
            <w:drawing>
              <wp:anchor distT="45720" distB="45720" distL="114300" distR="114300" simplePos="0" relativeHeight="251660288" behindDoc="0" locked="0" layoutInCell="1" allowOverlap="1" wp14:anchorId="46CB5B9F" wp14:editId="0286C140">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249C6" w:rsidRDefault="00BE015C" w:rsidP="00BE015C">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5C0FFCD8" w14:textId="77777777" w:rsidR="00BE015C" w:rsidRDefault="00BE015C" w:rsidP="00BE015C">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41178A" w:rsidRDefault="00BE015C" w:rsidP="00BE015C">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273A2151" w14:textId="77777777" w:rsidR="00BE015C" w:rsidRPr="00FC4A45" w:rsidRDefault="00BE015C" w:rsidP="00BE015C">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7C1CF94A"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7E94760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2081DFC3"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31720C3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7F4C562D"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2E92EA45"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55321E86"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7EC9E320"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21B4AC6"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0C10430F"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66E9419B"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1D86C921"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2ACD7F3F"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B5B9F" id="_x0000_s1027" type="#_x0000_t202" style="position:absolute;left:0;text-align:left;margin-left:.7pt;margin-top:.15pt;width:450.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249C6" w:rsidRDefault="00BE015C" w:rsidP="00BE015C">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5C0FFCD8" w14:textId="77777777" w:rsidR="00BE015C" w:rsidRDefault="00BE015C" w:rsidP="00BE015C">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41178A" w:rsidRDefault="00BE015C" w:rsidP="00BE015C">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273A2151" w14:textId="77777777" w:rsidR="00BE015C" w:rsidRPr="00FC4A45" w:rsidRDefault="00BE015C" w:rsidP="00BE015C">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7C1CF94A"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7E94760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2081DFC3"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31720C3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7F4C562D"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2E92EA45"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55321E86"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7EC9E320"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21B4AC6"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0C10430F"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66E9419B"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1D86C921"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2ACD7F3F"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29D77B48"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RAN1#104b-e meeting, further agreements were made as below:</w:t>
      </w:r>
      <w:r w:rsidRPr="00816294">
        <w:rPr>
          <w:rFonts w:eastAsia="宋体"/>
          <w:noProof/>
          <w:lang w:eastAsia="zh-CN"/>
        </w:rPr>
        <mc:AlternateContent>
          <mc:Choice Requires="wps">
            <w:drawing>
              <wp:anchor distT="45720" distB="45720" distL="114300" distR="114300" simplePos="0" relativeHeight="251661312" behindDoc="0" locked="0" layoutInCell="1" allowOverlap="1" wp14:anchorId="06B0699A" wp14:editId="38CFF903">
                <wp:simplePos x="0" y="0"/>
                <wp:positionH relativeFrom="column">
                  <wp:posOffset>0</wp:posOffset>
                </wp:positionH>
                <wp:positionV relativeFrom="paragraph">
                  <wp:posOffset>372110</wp:posOffset>
                </wp:positionV>
                <wp:extent cx="5725795" cy="1404620"/>
                <wp:effectExtent l="0" t="0" r="2730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E76D26" w:rsidRDefault="00BE015C" w:rsidP="00BE015C">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43DD" w:rsidRDefault="00BE015C" w:rsidP="00BE015C">
                            <w:pPr>
                              <w:rPr>
                                <w:rFonts w:cs="Times"/>
                                <w:szCs w:val="20"/>
                              </w:rPr>
                            </w:pPr>
                            <w:r w:rsidRPr="001D43DD">
                              <w:rPr>
                                <w:rFonts w:cs="Times"/>
                                <w:szCs w:val="20"/>
                              </w:rPr>
                              <w:t>For intercell MTRP operation, downselect one or more of the following alternatives in RAN1#105-e</w:t>
                            </w:r>
                          </w:p>
                          <w:p w14:paraId="18ED303B"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Alt1: one PCI associated with one or more of activated TCI states for [PDSCH]/PDCCH can be associated with only one CORESETPoolIndex</w:t>
                            </w:r>
                          </w:p>
                          <w:p w14:paraId="5E600E50"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Alt2: one PCI associated with one or more of activated TCI states for [PDSCH]/PDCCH can be associated with more than one CORESETPoolIndex</w:t>
                            </w:r>
                          </w:p>
                          <w:p w14:paraId="26120CD3"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Alt3: one PCI associated with TCI states for [PDSCH]/PDCCH via QCL relationship without association with CORESETPoolIndex</w:t>
                            </w:r>
                          </w:p>
                          <w:p w14:paraId="1D82B480"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A534EAB"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0699A" id="文本框 1" o:spid="_x0000_s1028" type="#_x0000_t202" style="position:absolute;left:0;text-align:left;margin-left:0;margin-top:29.3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">
                <v:textbox style="mso-fit-shape-to-text:t">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E76D26" w:rsidRDefault="00BE015C" w:rsidP="00BE015C">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43DD" w:rsidRDefault="00BE015C" w:rsidP="00BE015C">
                      <w:pPr>
                        <w:rPr>
                          <w:rFonts w:cs="Times"/>
                          <w:szCs w:val="20"/>
                        </w:rPr>
                      </w:pPr>
                      <w:r w:rsidRPr="001D43DD">
                        <w:rPr>
                          <w:rFonts w:cs="Times"/>
                          <w:szCs w:val="20"/>
                        </w:rPr>
                        <w:t>For intercell MTRP operation, downselect one or more of the following alternatives in RAN1#105-e</w:t>
                      </w:r>
                    </w:p>
                    <w:p w14:paraId="18ED303B"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Alt1: one PCI associated with one or more of activated TCI states for [PDSCH]/PDCCH can be associated with only one CORESETPoolIndex</w:t>
                      </w:r>
                    </w:p>
                    <w:p w14:paraId="5E600E50"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Alt2: one PCI associated with one or more of activated TCI states for [PDSCH]/PDCCH can be associated with more than one CORESETPoolIndex</w:t>
                      </w:r>
                    </w:p>
                    <w:p w14:paraId="26120CD3"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Alt3: one PCI associated with TCI states for [PDSCH]/PDCCH via QCL relationship without association with CORESETPoolIndex</w:t>
                      </w:r>
                    </w:p>
                    <w:p w14:paraId="1D82B480"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A534EAB"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v:textbox>
                <w10:wrap type="square"/>
              </v:shape>
            </w:pict>
          </mc:Fallback>
        </mc:AlternateContent>
      </w:r>
    </w:p>
    <w:p w14:paraId="4AA13ED7" w14:textId="77777777" w:rsidR="00BE015C" w:rsidRDefault="00BE015C" w:rsidP="00BE015C">
      <w:pPr>
        <w:spacing w:beforeLines="50" w:before="120"/>
        <w:rPr>
          <w:rFonts w:eastAsia="宋体"/>
          <w:lang w:eastAsia="zh-CN"/>
        </w:rPr>
      </w:pPr>
    </w:p>
    <w:p w14:paraId="26F49519"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RAN1#106-e meeting, further agreements were made as below:</w:t>
      </w:r>
      <w:r w:rsidRPr="00816294">
        <w:rPr>
          <w:rFonts w:eastAsia="宋体"/>
          <w:noProof/>
          <w:lang w:eastAsia="zh-CN"/>
        </w:rPr>
        <mc:AlternateContent>
          <mc:Choice Requires="wps">
            <w:drawing>
              <wp:anchor distT="45720" distB="45720" distL="114300" distR="114300" simplePos="0" relativeHeight="251662336" behindDoc="0" locked="0" layoutInCell="1" allowOverlap="1" wp14:anchorId="1D90BE2D" wp14:editId="54DC8396">
                <wp:simplePos x="0" y="0"/>
                <wp:positionH relativeFrom="column">
                  <wp:posOffset>0</wp:posOffset>
                </wp:positionH>
                <wp:positionV relativeFrom="paragraph">
                  <wp:posOffset>372110</wp:posOffset>
                </wp:positionV>
                <wp:extent cx="5725795" cy="1404620"/>
                <wp:effectExtent l="0" t="0" r="27305" b="2413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FFS : Which values to support other than 1. </w:t>
                            </w:r>
                          </w:p>
                          <w:p w14:paraId="28F2BB5D"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Values larger than 7 are precluded</w:t>
                            </w:r>
                          </w:p>
                          <w:p w14:paraId="030ABA5A"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RAN1 needs to agree on value(s) of X other than 1</w:t>
                            </w:r>
                          </w:p>
                          <w:p w14:paraId="4D9BC0D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Down-select one of the following alternatives:</w:t>
                            </w:r>
                          </w:p>
                          <w:p w14:paraId="6B4125FC"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Alt 1: A single value of X is reported as UE capability for any possible SSB time domain position and periodicity</w:t>
                            </w:r>
                          </w:p>
                          <w:p w14:paraId="3D5B2264"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0BE2D" id="文本框 3" o:spid="_x0000_s1029" type="#_x0000_t202" style="position:absolute;left:0;text-align:left;margin-left:0;margin-top:29.3pt;width:450.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">
                <v:textbox style="mso-fit-shape-to-text:t">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FFS : Which values to support other than 1. </w:t>
                      </w:r>
                    </w:p>
                    <w:p w14:paraId="28F2BB5D"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Values larger than 7 are precluded</w:t>
                      </w:r>
                    </w:p>
                    <w:p w14:paraId="030ABA5A"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RAN1 needs to agree on value(s) of X other than 1</w:t>
                      </w:r>
                    </w:p>
                    <w:p w14:paraId="4D9BC0D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Down-select one of the following alternatives:</w:t>
                      </w:r>
                    </w:p>
                    <w:p w14:paraId="6B4125FC"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Alt 1: A single value of X is reported as UE capability for any possible SSB time domain position and periodicity</w:t>
                      </w:r>
                    </w:p>
                    <w:p w14:paraId="3D5B2264"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v:textbox>
                <w10:wrap type="square"/>
              </v:shape>
            </w:pict>
          </mc:Fallback>
        </mc:AlternateContent>
      </w:r>
    </w:p>
    <w:p w14:paraId="000D7B3F" w14:textId="6F4E696F" w:rsidR="00BE015C" w:rsidRDefault="00BE015C" w:rsidP="000120AA">
      <w:pPr>
        <w:pStyle w:val="references"/>
        <w:numPr>
          <w:ilvl w:val="0"/>
          <w:numId w:val="0"/>
        </w:numPr>
        <w:ind w:left="357" w:hanging="357"/>
        <w:rPr>
          <w:bCs/>
        </w:rPr>
      </w:pPr>
    </w:p>
    <w:p w14:paraId="221DC343" w14:textId="6D1C1A5B" w:rsidR="001B211C" w:rsidRDefault="001B211C" w:rsidP="001B211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RAN1#106b-e meeting, further agreements were made as below:</w:t>
      </w:r>
      <w:r w:rsidRPr="00816294">
        <w:rPr>
          <w:rFonts w:eastAsia="宋体"/>
          <w:noProof/>
          <w:lang w:eastAsia="zh-CN"/>
        </w:rPr>
        <mc:AlternateContent>
          <mc:Choice Requires="wps">
            <w:drawing>
              <wp:anchor distT="45720" distB="45720" distL="114300" distR="114300" simplePos="0" relativeHeight="251664384" behindDoc="0" locked="0" layoutInCell="1" allowOverlap="1" wp14:anchorId="6AD8A752" wp14:editId="1497E7A8">
                <wp:simplePos x="0" y="0"/>
                <wp:positionH relativeFrom="column">
                  <wp:posOffset>0</wp:posOffset>
                </wp:positionH>
                <wp:positionV relativeFrom="paragraph">
                  <wp:posOffset>372110</wp:posOffset>
                </wp:positionV>
                <wp:extent cx="5725795" cy="1404620"/>
                <wp:effectExtent l="0" t="0" r="27305" b="24130"/>
                <wp:wrapSquare wrapText="bothSides"/>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75D34828" w14:textId="77777777" w:rsidR="001B211C" w:rsidRPr="00D74F3F" w:rsidRDefault="001B211C" w:rsidP="001B211C">
                            <w:pPr>
                              <w:tabs>
                                <w:tab w:val="left" w:pos="720"/>
                                <w:tab w:val="left" w:pos="1440"/>
                              </w:tabs>
                              <w:rPr>
                                <w:b/>
                              </w:rPr>
                            </w:pPr>
                            <w:r w:rsidRPr="00D74F3F">
                              <w:rPr>
                                <w:b/>
                                <w:highlight w:val="green"/>
                              </w:rPr>
                              <w:t>Agreement</w:t>
                            </w:r>
                          </w:p>
                          <w:p w14:paraId="6C2A51DB" w14:textId="77777777" w:rsidR="001B211C" w:rsidRDefault="001B211C" w:rsidP="001B211C">
                            <w:pPr>
                              <w:rPr>
                                <w:rFonts w:ascii="Arial" w:hAnsi="Arial" w:cs="Arial"/>
                                <w:szCs w:val="22"/>
                                <w:lang w:eastAsia="zh-CN"/>
                              </w:rPr>
                            </w:pPr>
                            <w:r>
                              <w:rPr>
                                <w:rFonts w:ascii="Arial" w:hAnsi="Arial" w:cs="Arial"/>
                              </w:rPr>
                              <w:t xml:space="preserve">Support two independent X values (X1, X2) are reported as a UE capability for </w:t>
                            </w:r>
                            <w:r>
                              <w:rPr>
                                <w:rFonts w:ascii="Arial" w:hAnsi="Arial" w:cs="Arial"/>
                                <w:strike/>
                                <w:color w:val="00B050"/>
                              </w:rPr>
                              <w:t>at least</w:t>
                            </w:r>
                            <w:r>
                              <w:rPr>
                                <w:rFonts w:ascii="Arial" w:hAnsi="Arial" w:cs="Arial"/>
                                <w:color w:val="00B050"/>
                              </w:rPr>
                              <w:t xml:space="preserve"> </w:t>
                            </w:r>
                            <w:r>
                              <w:rPr>
                                <w:rFonts w:ascii="Arial" w:hAnsi="Arial" w:cs="Arial"/>
                              </w:rPr>
                              <w:t xml:space="preserve">two different assumptions on </w:t>
                            </w:r>
                            <w:r>
                              <w:rPr>
                                <w:rFonts w:ascii="Arial" w:hAnsi="Arial" w:cs="Arial"/>
                                <w:color w:val="00B050"/>
                              </w:rPr>
                              <w:t xml:space="preserve">additional </w:t>
                            </w:r>
                            <w:r>
                              <w:rPr>
                                <w:rFonts w:ascii="Arial" w:hAnsi="Arial" w:cs="Arial"/>
                              </w:rPr>
                              <w:t>SSB time domain position and periodicity with respect to serving cell SSB.</w:t>
                            </w:r>
                          </w:p>
                          <w:p w14:paraId="2E932D4E" w14:textId="77777777" w:rsidR="001B211C" w:rsidRDefault="001B211C" w:rsidP="001B211C">
                            <w:pPr>
                              <w:numPr>
                                <w:ilvl w:val="0"/>
                                <w:numId w:val="41"/>
                              </w:numPr>
                              <w:spacing w:after="0"/>
                              <w:jc w:val="left"/>
                              <w:rPr>
                                <w:rFonts w:ascii="Arial" w:hAnsi="Arial" w:cs="Arial"/>
                              </w:rPr>
                            </w:pPr>
                            <w:r>
                              <w:rPr>
                                <w:rFonts w:ascii="Arial" w:hAnsi="Arial" w:cs="Arial"/>
                              </w:rPr>
                              <w:t xml:space="preserve">X1 (Case </w:t>
                            </w:r>
                            <w:r>
                              <w:rPr>
                                <w:rFonts w:ascii="Arial" w:hAnsi="Arial" w:cs="Arial"/>
                              </w:rPr>
                              <w:t xml:space="preserve">1)= The maximum number of configured additional PCIs when </w:t>
                            </w:r>
                            <w:r>
                              <w:rPr>
                                <w:rFonts w:ascii="Arial" w:hAnsi="Arial" w:cs="Arial"/>
                                <w:strike/>
                                <w:color w:val="00B050"/>
                              </w:rPr>
                              <w:t>the</w:t>
                            </w:r>
                            <w:r>
                              <w:rPr>
                                <w:rFonts w:ascii="Arial" w:hAnsi="Arial" w:cs="Arial"/>
                                <w:color w:val="00B050"/>
                              </w:rPr>
                              <w:t xml:space="preserve"> each </w:t>
                            </w:r>
                            <w:r>
                              <w:rPr>
                                <w:rFonts w:ascii="Arial" w:hAnsi="Arial" w:cs="Arial"/>
                              </w:rPr>
                              <w:t>configuration</w:t>
                            </w:r>
                            <w:r>
                              <w:rPr>
                                <w:rFonts w:ascii="Arial" w:hAnsi="Arial" w:cs="Arial"/>
                                <w:strike/>
                                <w:color w:val="00B050"/>
                              </w:rPr>
                              <w:t>s</w:t>
                            </w:r>
                            <w:r>
                              <w:rPr>
                                <w:rFonts w:ascii="Arial" w:hAnsi="Arial" w:cs="Arial"/>
                              </w:rPr>
                              <w:t xml:space="preserve"> of SSB time domain positions and periodicity of the additional PCIs </w:t>
                            </w:r>
                            <w:r>
                              <w:rPr>
                                <w:rFonts w:ascii="Arial" w:hAnsi="Arial" w:cs="Arial"/>
                                <w:strike/>
                                <w:color w:val="00B050"/>
                              </w:rPr>
                              <w:t>are</w:t>
                            </w:r>
                            <w:r>
                              <w:rPr>
                                <w:rFonts w:ascii="Arial" w:hAnsi="Arial" w:cs="Arial"/>
                              </w:rPr>
                              <w:t xml:space="preserve"> </w:t>
                            </w:r>
                            <w:r>
                              <w:rPr>
                                <w:rFonts w:ascii="Arial" w:hAnsi="Arial" w:cs="Arial"/>
                                <w:color w:val="00B050"/>
                              </w:rPr>
                              <w:t xml:space="preserve">is </w:t>
                            </w:r>
                            <w:r>
                              <w:rPr>
                                <w:rFonts w:ascii="Arial" w:hAnsi="Arial" w:cs="Arial"/>
                              </w:rPr>
                              <w:t>the same as SSB time domain positions and periodicity of the serving cell PCI</w:t>
                            </w:r>
                          </w:p>
                          <w:p w14:paraId="5F3DCECB" w14:textId="77777777" w:rsidR="001B211C" w:rsidRDefault="001B211C" w:rsidP="001B211C">
                            <w:pPr>
                              <w:numPr>
                                <w:ilvl w:val="0"/>
                                <w:numId w:val="41"/>
                              </w:numPr>
                              <w:spacing w:after="0"/>
                              <w:jc w:val="left"/>
                              <w:rPr>
                                <w:rFonts w:ascii="Arial" w:hAnsi="Arial" w:cs="Arial"/>
                                <w:color w:val="FF0000"/>
                              </w:rPr>
                            </w:pPr>
                            <w:r>
                              <w:rPr>
                                <w:rFonts w:ascii="Arial" w:hAnsi="Arial" w:cs="Arial"/>
                              </w:rPr>
                              <w:t xml:space="preserve">X2 (Case 2)= The maximum number of configured additional PCIs when </w:t>
                            </w:r>
                            <w:r>
                              <w:rPr>
                                <w:rFonts w:ascii="Arial" w:hAnsi="Arial" w:cs="Arial"/>
                                <w:strike/>
                                <w:color w:val="00B050"/>
                              </w:rPr>
                              <w:t>at least one of</w:t>
                            </w:r>
                            <w:r>
                              <w:rPr>
                                <w:rFonts w:ascii="Arial" w:hAnsi="Arial" w:cs="Arial"/>
                                <w:color w:val="00B050"/>
                              </w:rPr>
                              <w:t xml:space="preserve"> </w:t>
                            </w:r>
                            <w:r>
                              <w:rPr>
                                <w:rFonts w:ascii="Arial" w:hAnsi="Arial" w:cs="Arial"/>
                              </w:rPr>
                              <w:t xml:space="preserve">the configurations of SSB time domain positions and periodicity of the additional PCIs </w:t>
                            </w:r>
                            <w:r>
                              <w:rPr>
                                <w:rFonts w:ascii="Arial" w:hAnsi="Arial" w:cs="Arial"/>
                                <w:color w:val="FF0000"/>
                              </w:rPr>
                              <w:t>is not according to Case 1</w:t>
                            </w:r>
                          </w:p>
                          <w:p w14:paraId="61332A32" w14:textId="77777777" w:rsidR="001B211C" w:rsidRDefault="001B211C" w:rsidP="001B211C">
                            <w:pPr>
                              <w:numPr>
                                <w:ilvl w:val="0"/>
                                <w:numId w:val="41"/>
                              </w:numPr>
                              <w:spacing w:after="0"/>
                              <w:jc w:val="left"/>
                              <w:rPr>
                                <w:rFonts w:ascii="Arial" w:hAnsi="Arial" w:cs="Arial"/>
                              </w:rPr>
                            </w:pPr>
                            <w:r>
                              <w:rPr>
                                <w:rFonts w:ascii="Arial" w:hAnsi="Arial" w:cs="Arial"/>
                              </w:rPr>
                              <w:t>Note: By definition, Case 1 and Case 2 cannot be enabled simultaneously</w:t>
                            </w:r>
                          </w:p>
                          <w:p w14:paraId="04666F27" w14:textId="77777777"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Supported values for X1 and X2 include</w:t>
                            </w:r>
                            <w:r w:rsidRPr="001B211C">
                              <w:rPr>
                                <w:rFonts w:ascii="Arial" w:hAnsi="Arial" w:cs="Arial"/>
                                <w:strike/>
                                <w:color w:val="00B050"/>
                              </w:rPr>
                              <w:t>s</w:t>
                            </w:r>
                            <w:r w:rsidRPr="001B211C">
                              <w:rPr>
                                <w:rFonts w:ascii="Arial" w:hAnsi="Arial" w:cs="Arial"/>
                              </w:rPr>
                              <w:t xml:space="preserve"> at least 0,1,2,3 and 7. FFS on other values</w:t>
                            </w:r>
                          </w:p>
                          <w:p w14:paraId="3F4F311D" w14:textId="2FB3162C"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This UE capability has FR1 and FR2 differentiation (FFS : Whether this UE capability is per UE or per</w:t>
                            </w:r>
                          </w:p>
                          <w:p w14:paraId="0D052FFE" w14:textId="2ED43234" w:rsidR="001B211C" w:rsidRDefault="001B211C" w:rsidP="001B211C">
                            <w:pPr>
                              <w:wordWrap w:val="0"/>
                              <w:rPr>
                                <w:rFonts w:cs="Times"/>
                              </w:rPr>
                            </w:pPr>
                          </w:p>
                          <w:p w14:paraId="24398574" w14:textId="77777777" w:rsidR="0055469D" w:rsidRDefault="0055469D" w:rsidP="0055469D">
                            <w:pPr>
                              <w:rPr>
                                <w:rFonts w:ascii="Calibri" w:hAnsi="Calibri"/>
                                <w:lang w:eastAsia="zh-CN"/>
                              </w:rPr>
                            </w:pPr>
                            <w:r>
                              <w:rPr>
                                <w:rStyle w:val="normaltextrun"/>
                                <w:rFonts w:ascii="Calibri" w:hAnsi="Calibri"/>
                                <w:b/>
                                <w:bCs/>
                                <w:color w:val="000000"/>
                                <w:highlight w:val="green"/>
                              </w:rPr>
                              <w:t>Updated Proposal 6:</w:t>
                            </w:r>
                          </w:p>
                          <w:p w14:paraId="4DC1669E" w14:textId="0E661732" w:rsidR="0055469D" w:rsidRPr="0055469D" w:rsidRDefault="0055469D" w:rsidP="0055469D">
                            <w:pPr>
                              <w:pStyle w:val="af2"/>
                              <w:numPr>
                                <w:ilvl w:val="0"/>
                                <w:numId w:val="42"/>
                              </w:numPr>
                              <w:ind w:firstLineChars="0"/>
                            </w:pPr>
                            <w:r w:rsidRPr="0055469D">
                              <w:t>Center frequency, SCS, SFN offset are assumed to be the same for</w:t>
                            </w:r>
                            <w:r w:rsidRPr="0055469D">
                              <w:rPr>
                                <w:rStyle w:val="apple-converted-space"/>
                              </w:rPr>
                              <w:t> </w:t>
                            </w:r>
                            <w:r w:rsidRPr="0055469D">
                              <w:rPr>
                                <w:color w:val="FF0000"/>
                              </w:rPr>
                              <w:t>SSBs from</w:t>
                            </w:r>
                            <w:r w:rsidRPr="0055469D">
                              <w:rPr>
                                <w:rStyle w:val="apple-converted-space"/>
                                <w:color w:val="FF0000"/>
                              </w:rPr>
                              <w:t> </w:t>
                            </w:r>
                            <w:r w:rsidRPr="0055469D">
                              <w:t>the serving cell and the configured</w:t>
                            </w:r>
                            <w:r w:rsidRPr="0055469D">
                              <w:rPr>
                                <w:rStyle w:val="apple-converted-space"/>
                              </w:rPr>
                              <w:t> </w:t>
                            </w:r>
                            <w:r w:rsidRPr="0055469D">
                              <w:rPr>
                                <w:strike/>
                                <w:color w:val="FF0000"/>
                              </w:rPr>
                              <w:t xml:space="preserve">cells having </w:t>
                            </w:r>
                            <w:r w:rsidRPr="0055469D">
                              <w:rPr>
                                <w:strike/>
                                <w:color w:val="FF0000"/>
                              </w:rPr>
                              <w:t>TRPs</w:t>
                            </w:r>
                            <w:r w:rsidRPr="0055469D">
                              <w:rPr>
                                <w:color w:val="FF0000"/>
                              </w:rPr>
                              <w:t>SSBs</w:t>
                            </w:r>
                            <w:r w:rsidRPr="0055469D">
                              <w:rPr>
                                <w:rStyle w:val="apple-converted-space"/>
                                <w:color w:val="FF0000"/>
                              </w:rPr>
                              <w:t> </w:t>
                            </w:r>
                            <w:r w:rsidRPr="0055469D">
                              <w:t>with</w:t>
                            </w:r>
                            <w:r w:rsidRPr="0055469D">
                              <w:rPr>
                                <w:rStyle w:val="apple-converted-space"/>
                              </w:rPr>
                              <w:t> </w:t>
                            </w:r>
                            <w:r w:rsidRPr="0055469D">
                              <w:rPr>
                                <w:strike/>
                                <w:color w:val="FF0000"/>
                              </w:rPr>
                              <w:t>different</w:t>
                            </w:r>
                            <w:r w:rsidRPr="0055469D">
                              <w:rPr>
                                <w:rStyle w:val="apple-converted-space"/>
                                <w:color w:val="FF0000"/>
                              </w:rPr>
                              <w:t> </w:t>
                            </w:r>
                            <w:r w:rsidRPr="0055469D">
                              <w:t>PCI</w:t>
                            </w:r>
                            <w:r w:rsidRPr="0055469D">
                              <w:rPr>
                                <w:rStyle w:val="apple-converted-space"/>
                              </w:rPr>
                              <w:t> </w:t>
                            </w:r>
                            <w:r w:rsidRPr="0055469D">
                              <w:rPr>
                                <w:color w:val="FF0000"/>
                              </w:rPr>
                              <w:t>different from the serving cell</w:t>
                            </w:r>
                            <w:r w:rsidRPr="0055469D">
                              <w:rPr>
                                <w:rStyle w:val="apple-converted-space"/>
                                <w:color w:val="FF0000"/>
                              </w:rPr>
                              <w:t> </w:t>
                            </w:r>
                            <w:r w:rsidRPr="0055469D">
                              <w:t>for inter-cell multi TRP operation.</w:t>
                            </w:r>
                          </w:p>
                          <w:p w14:paraId="0F8A8D13" w14:textId="708F0662" w:rsidR="0055469D" w:rsidRPr="0055469D" w:rsidRDefault="0055469D" w:rsidP="0055469D">
                            <w:pPr>
                              <w:pStyle w:val="af2"/>
                              <w:numPr>
                                <w:ilvl w:val="0"/>
                                <w:numId w:val="42"/>
                              </w:numPr>
                              <w:ind w:firstLineChars="0"/>
                            </w:pPr>
                            <w:r w:rsidRPr="0055469D">
                              <w:rPr>
                                <w:strike/>
                                <w:color w:val="FF0000"/>
                                <w:lang w:val="en-GB"/>
                              </w:rPr>
                              <w:t>For non-serving cell SSB information,</w:t>
                            </w:r>
                            <w:r w:rsidRPr="0055469D">
                              <w:rPr>
                                <w:rStyle w:val="apple-converted-space"/>
                                <w:strike/>
                                <w:color w:val="FF0000"/>
                                <w:lang w:val="en-GB"/>
                              </w:rPr>
                              <w:t> </w:t>
                            </w:r>
                            <w:r w:rsidRPr="0055469D">
                              <w:rPr>
                                <w:lang w:val="en-GB"/>
                              </w:rPr>
                              <w:t>the information related to “SSB time domain position” for</w:t>
                            </w:r>
                            <w:r w:rsidRPr="0055469D">
                              <w:rPr>
                                <w:rStyle w:val="apple-converted-space"/>
                                <w:lang w:val="en-GB"/>
                              </w:rPr>
                              <w:t> </w:t>
                            </w:r>
                            <w:r w:rsidRPr="0055469D">
                              <w:rPr>
                                <w:strike/>
                                <w:color w:val="FF0000"/>
                                <w:lang w:val="en-GB"/>
                              </w:rPr>
                              <w:t>non-serving cell</w:t>
                            </w:r>
                            <w:r w:rsidRPr="0055469D">
                              <w:rPr>
                                <w:rStyle w:val="apple-converted-space"/>
                                <w:lang w:val="en-GB"/>
                              </w:rPr>
                              <w:t> </w:t>
                            </w:r>
                            <w:r w:rsidRPr="0055469D">
                              <w:rPr>
                                <w:lang w:val="en-GB"/>
                              </w:rPr>
                              <w:t>SSB</w:t>
                            </w:r>
                            <w:r w:rsidRPr="0055469D">
                              <w:rPr>
                                <w:rStyle w:val="apple-converted-space"/>
                                <w:lang w:val="en-GB"/>
                              </w:rPr>
                              <w:t> </w:t>
                            </w:r>
                            <w:r w:rsidRPr="0055469D">
                              <w:rPr>
                                <w:color w:val="FF0000"/>
                                <w:lang w:val="en-GB"/>
                              </w:rPr>
                              <w:t>with PCI different from the serving cell</w:t>
                            </w:r>
                            <w:r w:rsidRPr="0055469D">
                              <w:rPr>
                                <w:rStyle w:val="apple-converted-space"/>
                                <w:color w:val="FF0000"/>
                                <w:lang w:val="en-GB"/>
                              </w:rPr>
                              <w:t> </w:t>
                            </w:r>
                            <w:r w:rsidRPr="0055469D">
                              <w:rPr>
                                <w:lang w:val="en-GB"/>
                              </w:rPr>
                              <w:t>consists of [halfFrameIndex and] ssb-PositionsInBurst</w:t>
                            </w:r>
                          </w:p>
                          <w:p w14:paraId="1D96B0FC" w14:textId="77777777" w:rsidR="0055469D" w:rsidRPr="0079060C" w:rsidRDefault="0055469D" w:rsidP="001B211C">
                            <w:pPr>
                              <w:wordWrap w:val="0"/>
                              <w:rPr>
                                <w:rFonts w:cs="Time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D8A752" id="文本框 19" o:spid="_x0000_s1030" type="#_x0000_t202" style="position:absolute;left:0;text-align:left;margin-left:0;margin-top:29.3pt;width:450.8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1uNwIAAE8EAAAOAAAAZHJzL2Uyb0RvYy54bWysVM2O0zAQviPxDpbvNGmV7m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">
                <v:textbox style="mso-fit-shape-to-text:t">
                  <w:txbxContent>
                    <w:p w14:paraId="75D34828" w14:textId="77777777" w:rsidR="001B211C" w:rsidRPr="00D74F3F" w:rsidRDefault="001B211C" w:rsidP="001B211C">
                      <w:pPr>
                        <w:tabs>
                          <w:tab w:val="left" w:pos="720"/>
                          <w:tab w:val="left" w:pos="1440"/>
                        </w:tabs>
                        <w:rPr>
                          <w:b/>
                        </w:rPr>
                      </w:pPr>
                      <w:r w:rsidRPr="00D74F3F">
                        <w:rPr>
                          <w:b/>
                          <w:highlight w:val="green"/>
                        </w:rPr>
                        <w:t>Agreement</w:t>
                      </w:r>
                    </w:p>
                    <w:p w14:paraId="6C2A51DB" w14:textId="77777777" w:rsidR="001B211C" w:rsidRDefault="001B211C" w:rsidP="001B211C">
                      <w:pPr>
                        <w:rPr>
                          <w:rFonts w:ascii="Arial" w:hAnsi="Arial" w:cs="Arial"/>
                          <w:szCs w:val="22"/>
                          <w:lang w:eastAsia="zh-CN"/>
                        </w:rPr>
                      </w:pPr>
                      <w:r>
                        <w:rPr>
                          <w:rFonts w:ascii="Arial" w:hAnsi="Arial" w:cs="Arial"/>
                        </w:rPr>
                        <w:t xml:space="preserve">Support two independent X values (X1, X2) are reported as a UE capability for </w:t>
                      </w:r>
                      <w:r>
                        <w:rPr>
                          <w:rFonts w:ascii="Arial" w:hAnsi="Arial" w:cs="Arial"/>
                          <w:strike/>
                          <w:color w:val="00B050"/>
                        </w:rPr>
                        <w:t>at least</w:t>
                      </w:r>
                      <w:r>
                        <w:rPr>
                          <w:rFonts w:ascii="Arial" w:hAnsi="Arial" w:cs="Arial"/>
                          <w:color w:val="00B050"/>
                        </w:rPr>
                        <w:t xml:space="preserve"> </w:t>
                      </w:r>
                      <w:r>
                        <w:rPr>
                          <w:rFonts w:ascii="Arial" w:hAnsi="Arial" w:cs="Arial"/>
                        </w:rPr>
                        <w:t xml:space="preserve">two different assumptions on </w:t>
                      </w:r>
                      <w:r>
                        <w:rPr>
                          <w:rFonts w:ascii="Arial" w:hAnsi="Arial" w:cs="Arial"/>
                          <w:color w:val="00B050"/>
                        </w:rPr>
                        <w:t xml:space="preserve">additional </w:t>
                      </w:r>
                      <w:r>
                        <w:rPr>
                          <w:rFonts w:ascii="Arial" w:hAnsi="Arial" w:cs="Arial"/>
                        </w:rPr>
                        <w:t>SSB time domain position and periodicity with respect to serving cell SSB.</w:t>
                      </w:r>
                    </w:p>
                    <w:p w14:paraId="2E932D4E" w14:textId="77777777" w:rsidR="001B211C" w:rsidRDefault="001B211C" w:rsidP="001B211C">
                      <w:pPr>
                        <w:numPr>
                          <w:ilvl w:val="0"/>
                          <w:numId w:val="41"/>
                        </w:numPr>
                        <w:spacing w:after="0"/>
                        <w:jc w:val="left"/>
                        <w:rPr>
                          <w:rFonts w:ascii="Arial" w:hAnsi="Arial" w:cs="Arial"/>
                        </w:rPr>
                      </w:pPr>
                      <w:r>
                        <w:rPr>
                          <w:rFonts w:ascii="Arial" w:hAnsi="Arial" w:cs="Arial"/>
                        </w:rPr>
                        <w:t xml:space="preserve">X1 (Case </w:t>
                      </w:r>
                      <w:proofErr w:type="gramStart"/>
                      <w:r>
                        <w:rPr>
                          <w:rFonts w:ascii="Arial" w:hAnsi="Arial" w:cs="Arial"/>
                        </w:rPr>
                        <w:t>1)=</w:t>
                      </w:r>
                      <w:proofErr w:type="gramEnd"/>
                      <w:r>
                        <w:rPr>
                          <w:rFonts w:ascii="Arial" w:hAnsi="Arial" w:cs="Arial"/>
                        </w:rPr>
                        <w:t xml:space="preserve"> The maximum number of configured additional PCIs when </w:t>
                      </w:r>
                      <w:r>
                        <w:rPr>
                          <w:rFonts w:ascii="Arial" w:hAnsi="Arial" w:cs="Arial"/>
                          <w:strike/>
                          <w:color w:val="00B050"/>
                        </w:rPr>
                        <w:t>the</w:t>
                      </w:r>
                      <w:r>
                        <w:rPr>
                          <w:rFonts w:ascii="Arial" w:hAnsi="Arial" w:cs="Arial"/>
                          <w:color w:val="00B050"/>
                        </w:rPr>
                        <w:t xml:space="preserve"> each </w:t>
                      </w:r>
                      <w:r>
                        <w:rPr>
                          <w:rFonts w:ascii="Arial" w:hAnsi="Arial" w:cs="Arial"/>
                        </w:rPr>
                        <w:t>configuration</w:t>
                      </w:r>
                      <w:r>
                        <w:rPr>
                          <w:rFonts w:ascii="Arial" w:hAnsi="Arial" w:cs="Arial"/>
                          <w:strike/>
                          <w:color w:val="00B050"/>
                        </w:rPr>
                        <w:t>s</w:t>
                      </w:r>
                      <w:r>
                        <w:rPr>
                          <w:rFonts w:ascii="Arial" w:hAnsi="Arial" w:cs="Arial"/>
                        </w:rPr>
                        <w:t xml:space="preserve"> of SSB time domain positions and periodicity of the additional PCIs </w:t>
                      </w:r>
                      <w:r>
                        <w:rPr>
                          <w:rFonts w:ascii="Arial" w:hAnsi="Arial" w:cs="Arial"/>
                          <w:strike/>
                          <w:color w:val="00B050"/>
                        </w:rPr>
                        <w:t>are</w:t>
                      </w:r>
                      <w:r>
                        <w:rPr>
                          <w:rFonts w:ascii="Arial" w:hAnsi="Arial" w:cs="Arial"/>
                        </w:rPr>
                        <w:t xml:space="preserve"> </w:t>
                      </w:r>
                      <w:r>
                        <w:rPr>
                          <w:rFonts w:ascii="Arial" w:hAnsi="Arial" w:cs="Arial"/>
                          <w:color w:val="00B050"/>
                        </w:rPr>
                        <w:t xml:space="preserve">is </w:t>
                      </w:r>
                      <w:r>
                        <w:rPr>
                          <w:rFonts w:ascii="Arial" w:hAnsi="Arial" w:cs="Arial"/>
                        </w:rPr>
                        <w:t>the same as SSB time domain positions and periodicity of the serving cell PCI</w:t>
                      </w:r>
                    </w:p>
                    <w:p w14:paraId="5F3DCECB" w14:textId="77777777" w:rsidR="001B211C" w:rsidRDefault="001B211C" w:rsidP="001B211C">
                      <w:pPr>
                        <w:numPr>
                          <w:ilvl w:val="0"/>
                          <w:numId w:val="41"/>
                        </w:numPr>
                        <w:spacing w:after="0"/>
                        <w:jc w:val="left"/>
                        <w:rPr>
                          <w:rFonts w:ascii="Arial" w:hAnsi="Arial" w:cs="Arial"/>
                          <w:color w:val="FF0000"/>
                        </w:rPr>
                      </w:pPr>
                      <w:r>
                        <w:rPr>
                          <w:rFonts w:ascii="Arial" w:hAnsi="Arial" w:cs="Arial"/>
                        </w:rPr>
                        <w:t xml:space="preserve">X2 (Case </w:t>
                      </w:r>
                      <w:proofErr w:type="gramStart"/>
                      <w:r>
                        <w:rPr>
                          <w:rFonts w:ascii="Arial" w:hAnsi="Arial" w:cs="Arial"/>
                        </w:rPr>
                        <w:t>2)=</w:t>
                      </w:r>
                      <w:proofErr w:type="gramEnd"/>
                      <w:r>
                        <w:rPr>
                          <w:rFonts w:ascii="Arial" w:hAnsi="Arial" w:cs="Arial"/>
                        </w:rPr>
                        <w:t xml:space="preserve"> The maximum number of configured additional PCIs when </w:t>
                      </w:r>
                      <w:r>
                        <w:rPr>
                          <w:rFonts w:ascii="Arial" w:hAnsi="Arial" w:cs="Arial"/>
                          <w:strike/>
                          <w:color w:val="00B050"/>
                        </w:rPr>
                        <w:t>at least one of</w:t>
                      </w:r>
                      <w:r>
                        <w:rPr>
                          <w:rFonts w:ascii="Arial" w:hAnsi="Arial" w:cs="Arial"/>
                          <w:color w:val="00B050"/>
                        </w:rPr>
                        <w:t xml:space="preserve"> </w:t>
                      </w:r>
                      <w:r>
                        <w:rPr>
                          <w:rFonts w:ascii="Arial" w:hAnsi="Arial" w:cs="Arial"/>
                        </w:rPr>
                        <w:t xml:space="preserve">the configurations of SSB time domain positions and periodicity of the additional PCIs </w:t>
                      </w:r>
                      <w:r>
                        <w:rPr>
                          <w:rFonts w:ascii="Arial" w:hAnsi="Arial" w:cs="Arial"/>
                          <w:color w:val="FF0000"/>
                        </w:rPr>
                        <w:t>is not according to Case 1</w:t>
                      </w:r>
                    </w:p>
                    <w:p w14:paraId="61332A32" w14:textId="77777777" w:rsidR="001B211C" w:rsidRDefault="001B211C" w:rsidP="001B211C">
                      <w:pPr>
                        <w:numPr>
                          <w:ilvl w:val="0"/>
                          <w:numId w:val="41"/>
                        </w:numPr>
                        <w:spacing w:after="0"/>
                        <w:jc w:val="left"/>
                        <w:rPr>
                          <w:rFonts w:ascii="Arial" w:hAnsi="Arial" w:cs="Arial"/>
                        </w:rPr>
                      </w:pPr>
                      <w:r>
                        <w:rPr>
                          <w:rFonts w:ascii="Arial" w:hAnsi="Arial" w:cs="Arial"/>
                        </w:rPr>
                        <w:t>Note: By definition, Case 1 and Case 2 cannot be enabled simultaneously</w:t>
                      </w:r>
                    </w:p>
                    <w:p w14:paraId="04666F27" w14:textId="77777777"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Supported values for X1 and X2 include</w:t>
                      </w:r>
                      <w:r w:rsidRPr="001B211C">
                        <w:rPr>
                          <w:rFonts w:ascii="Arial" w:hAnsi="Arial" w:cs="Arial"/>
                          <w:strike/>
                          <w:color w:val="00B050"/>
                        </w:rPr>
                        <w:t>s</w:t>
                      </w:r>
                      <w:r w:rsidRPr="001B211C">
                        <w:rPr>
                          <w:rFonts w:ascii="Arial" w:hAnsi="Arial" w:cs="Arial"/>
                        </w:rPr>
                        <w:t xml:space="preserve"> at least 0,1,2,3 and 7. FFS on other values</w:t>
                      </w:r>
                    </w:p>
                    <w:p w14:paraId="3F4F311D" w14:textId="2FB3162C"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This UE capability has FR1 and FR2 differentiation (</w:t>
                      </w:r>
                      <w:proofErr w:type="gramStart"/>
                      <w:r w:rsidRPr="001B211C">
                        <w:rPr>
                          <w:rFonts w:ascii="Arial" w:hAnsi="Arial" w:cs="Arial"/>
                        </w:rPr>
                        <w:t>FFS :</w:t>
                      </w:r>
                      <w:proofErr w:type="gramEnd"/>
                      <w:r w:rsidRPr="001B211C">
                        <w:rPr>
                          <w:rFonts w:ascii="Arial" w:hAnsi="Arial" w:cs="Arial"/>
                        </w:rPr>
                        <w:t xml:space="preserve"> Whether this UE capability is per UE or per</w:t>
                      </w:r>
                    </w:p>
                    <w:p w14:paraId="0D052FFE" w14:textId="2ED43234" w:rsidR="001B211C" w:rsidRDefault="001B211C" w:rsidP="001B211C">
                      <w:pPr>
                        <w:wordWrap w:val="0"/>
                        <w:rPr>
                          <w:rFonts w:cs="Times"/>
                        </w:rPr>
                      </w:pPr>
                    </w:p>
                    <w:p w14:paraId="24398574" w14:textId="77777777" w:rsidR="0055469D" w:rsidRDefault="0055469D" w:rsidP="0055469D">
                      <w:pPr>
                        <w:rPr>
                          <w:rFonts w:ascii="Calibri" w:hAnsi="Calibri"/>
                          <w:lang w:eastAsia="zh-CN"/>
                        </w:rPr>
                      </w:pPr>
                      <w:r>
                        <w:rPr>
                          <w:rStyle w:val="normaltextrun"/>
                          <w:rFonts w:ascii="Calibri" w:hAnsi="Calibri"/>
                          <w:b/>
                          <w:bCs/>
                          <w:color w:val="000000"/>
                          <w:highlight w:val="green"/>
                        </w:rPr>
                        <w:t>Updated Proposal 6:</w:t>
                      </w:r>
                    </w:p>
                    <w:p w14:paraId="4DC1669E" w14:textId="0E661732" w:rsidR="0055469D" w:rsidRPr="0055469D" w:rsidRDefault="0055469D" w:rsidP="0055469D">
                      <w:pPr>
                        <w:pStyle w:val="af2"/>
                        <w:numPr>
                          <w:ilvl w:val="0"/>
                          <w:numId w:val="42"/>
                        </w:numPr>
                        <w:ind w:firstLineChars="0"/>
                      </w:pPr>
                      <w:r w:rsidRPr="0055469D">
                        <w:t>Center frequency, SCS, SFN offset are assumed to be the same for</w:t>
                      </w:r>
                      <w:r w:rsidRPr="0055469D">
                        <w:rPr>
                          <w:rStyle w:val="apple-converted-space"/>
                        </w:rPr>
                        <w:t> </w:t>
                      </w:r>
                      <w:r w:rsidRPr="0055469D">
                        <w:rPr>
                          <w:color w:val="FF0000"/>
                        </w:rPr>
                        <w:t>SSBs from</w:t>
                      </w:r>
                      <w:r w:rsidRPr="0055469D">
                        <w:rPr>
                          <w:rStyle w:val="apple-converted-space"/>
                          <w:color w:val="FF0000"/>
                        </w:rPr>
                        <w:t> </w:t>
                      </w:r>
                      <w:r w:rsidRPr="0055469D">
                        <w:t>the serving cell and the configured</w:t>
                      </w:r>
                      <w:r w:rsidRPr="0055469D">
                        <w:rPr>
                          <w:rStyle w:val="apple-converted-space"/>
                        </w:rPr>
                        <w:t> </w:t>
                      </w:r>
                      <w:r w:rsidRPr="0055469D">
                        <w:rPr>
                          <w:strike/>
                          <w:color w:val="FF0000"/>
                        </w:rPr>
                        <w:t xml:space="preserve">cells having </w:t>
                      </w:r>
                      <w:proofErr w:type="spellStart"/>
                      <w:r w:rsidRPr="0055469D">
                        <w:rPr>
                          <w:strike/>
                          <w:color w:val="FF0000"/>
                        </w:rPr>
                        <w:t>TRPs</w:t>
                      </w:r>
                      <w:r w:rsidRPr="0055469D">
                        <w:rPr>
                          <w:color w:val="FF0000"/>
                        </w:rPr>
                        <w:t>SSBs</w:t>
                      </w:r>
                      <w:proofErr w:type="spellEnd"/>
                      <w:r w:rsidRPr="0055469D">
                        <w:rPr>
                          <w:rStyle w:val="apple-converted-space"/>
                          <w:color w:val="FF0000"/>
                        </w:rPr>
                        <w:t> </w:t>
                      </w:r>
                      <w:r w:rsidRPr="0055469D">
                        <w:t>with</w:t>
                      </w:r>
                      <w:r w:rsidRPr="0055469D">
                        <w:rPr>
                          <w:rStyle w:val="apple-converted-space"/>
                        </w:rPr>
                        <w:t> </w:t>
                      </w:r>
                      <w:r w:rsidRPr="0055469D">
                        <w:rPr>
                          <w:strike/>
                          <w:color w:val="FF0000"/>
                        </w:rPr>
                        <w:t>different</w:t>
                      </w:r>
                      <w:r w:rsidRPr="0055469D">
                        <w:rPr>
                          <w:rStyle w:val="apple-converted-space"/>
                          <w:color w:val="FF0000"/>
                        </w:rPr>
                        <w:t> </w:t>
                      </w:r>
                      <w:r w:rsidRPr="0055469D">
                        <w:t>PCI</w:t>
                      </w:r>
                      <w:r w:rsidRPr="0055469D">
                        <w:rPr>
                          <w:rStyle w:val="apple-converted-space"/>
                        </w:rPr>
                        <w:t> </w:t>
                      </w:r>
                      <w:r w:rsidRPr="0055469D">
                        <w:rPr>
                          <w:color w:val="FF0000"/>
                        </w:rPr>
                        <w:t>different from the serving cell</w:t>
                      </w:r>
                      <w:r w:rsidRPr="0055469D">
                        <w:rPr>
                          <w:rStyle w:val="apple-converted-space"/>
                          <w:color w:val="FF0000"/>
                        </w:rPr>
                        <w:t> </w:t>
                      </w:r>
                      <w:r w:rsidRPr="0055469D">
                        <w:t>for inter-cell multi TRP operation.</w:t>
                      </w:r>
                    </w:p>
                    <w:p w14:paraId="0F8A8D13" w14:textId="708F0662" w:rsidR="0055469D" w:rsidRPr="0055469D" w:rsidRDefault="0055469D" w:rsidP="0055469D">
                      <w:pPr>
                        <w:pStyle w:val="af2"/>
                        <w:numPr>
                          <w:ilvl w:val="0"/>
                          <w:numId w:val="42"/>
                        </w:numPr>
                        <w:ind w:firstLineChars="0"/>
                      </w:pPr>
                      <w:r w:rsidRPr="0055469D">
                        <w:rPr>
                          <w:strike/>
                          <w:color w:val="FF0000"/>
                          <w:lang w:val="en-GB"/>
                        </w:rPr>
                        <w:t>For non-serving cell SSB information,</w:t>
                      </w:r>
                      <w:r w:rsidRPr="0055469D">
                        <w:rPr>
                          <w:rStyle w:val="apple-converted-space"/>
                          <w:strike/>
                          <w:color w:val="FF0000"/>
                          <w:lang w:val="en-GB"/>
                        </w:rPr>
                        <w:t> </w:t>
                      </w:r>
                      <w:r w:rsidRPr="0055469D">
                        <w:rPr>
                          <w:lang w:val="en-GB"/>
                        </w:rPr>
                        <w:t>the information related to “SSB time domain position” for</w:t>
                      </w:r>
                      <w:r w:rsidRPr="0055469D">
                        <w:rPr>
                          <w:rStyle w:val="apple-converted-space"/>
                          <w:lang w:val="en-GB"/>
                        </w:rPr>
                        <w:t> </w:t>
                      </w:r>
                      <w:r w:rsidRPr="0055469D">
                        <w:rPr>
                          <w:strike/>
                          <w:color w:val="FF0000"/>
                          <w:lang w:val="en-GB"/>
                        </w:rPr>
                        <w:t>non-serving cell</w:t>
                      </w:r>
                      <w:r w:rsidRPr="0055469D">
                        <w:rPr>
                          <w:rStyle w:val="apple-converted-space"/>
                          <w:lang w:val="en-GB"/>
                        </w:rPr>
                        <w:t> </w:t>
                      </w:r>
                      <w:r w:rsidRPr="0055469D">
                        <w:rPr>
                          <w:lang w:val="en-GB"/>
                        </w:rPr>
                        <w:t>SSB</w:t>
                      </w:r>
                      <w:r w:rsidRPr="0055469D">
                        <w:rPr>
                          <w:rStyle w:val="apple-converted-space"/>
                          <w:lang w:val="en-GB"/>
                        </w:rPr>
                        <w:t> </w:t>
                      </w:r>
                      <w:r w:rsidRPr="0055469D">
                        <w:rPr>
                          <w:color w:val="FF0000"/>
                          <w:lang w:val="en-GB"/>
                        </w:rPr>
                        <w:t>with PCI different from the serving cell</w:t>
                      </w:r>
                      <w:r w:rsidRPr="0055469D">
                        <w:rPr>
                          <w:rStyle w:val="apple-converted-space"/>
                          <w:color w:val="FF0000"/>
                          <w:lang w:val="en-GB"/>
                        </w:rPr>
                        <w:t> </w:t>
                      </w:r>
                      <w:r w:rsidRPr="0055469D">
                        <w:rPr>
                          <w:lang w:val="en-GB"/>
                        </w:rPr>
                        <w:t>consists of [</w:t>
                      </w:r>
                      <w:proofErr w:type="spellStart"/>
                      <w:r w:rsidRPr="0055469D">
                        <w:rPr>
                          <w:lang w:val="en-GB"/>
                        </w:rPr>
                        <w:t>halfFrameIndex</w:t>
                      </w:r>
                      <w:proofErr w:type="spellEnd"/>
                      <w:r w:rsidRPr="0055469D">
                        <w:rPr>
                          <w:lang w:val="en-GB"/>
                        </w:rPr>
                        <w:t xml:space="preserve"> and] </w:t>
                      </w:r>
                      <w:proofErr w:type="spellStart"/>
                      <w:r w:rsidRPr="0055469D">
                        <w:rPr>
                          <w:lang w:val="en-GB"/>
                        </w:rPr>
                        <w:t>ssb-PositionsInBurst</w:t>
                      </w:r>
                      <w:proofErr w:type="spellEnd"/>
                    </w:p>
                    <w:p w14:paraId="1D96B0FC" w14:textId="77777777" w:rsidR="0055469D" w:rsidRPr="0079060C" w:rsidRDefault="0055469D" w:rsidP="001B211C">
                      <w:pPr>
                        <w:wordWrap w:val="0"/>
                        <w:rPr>
                          <w:rFonts w:cs="Times"/>
                        </w:rPr>
                      </w:pPr>
                    </w:p>
                  </w:txbxContent>
                </v:textbox>
                <w10:wrap type="square"/>
              </v:shape>
            </w:pict>
          </mc:Fallback>
        </mc:AlternateContent>
      </w:r>
    </w:p>
    <w:p w14:paraId="2E2FAB81" w14:textId="77777777" w:rsidR="001B211C" w:rsidRPr="00A87AB4" w:rsidRDefault="001B211C" w:rsidP="000120AA">
      <w:pPr>
        <w:pStyle w:val="references"/>
        <w:numPr>
          <w:ilvl w:val="0"/>
          <w:numId w:val="0"/>
        </w:numPr>
        <w:ind w:left="357" w:hanging="357"/>
        <w:rPr>
          <w:bCs/>
        </w:rPr>
      </w:pPr>
    </w:p>
    <w:sectPr w:rsidR="001B211C"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6FD46" w14:textId="77777777" w:rsidR="001D20D7" w:rsidRDefault="001D20D7">
      <w:r>
        <w:separator/>
      </w:r>
    </w:p>
  </w:endnote>
  <w:endnote w:type="continuationSeparator" w:id="0">
    <w:p w14:paraId="2C6BDAA9" w14:textId="77777777" w:rsidR="001D20D7" w:rsidRDefault="001D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1FC4" w14:textId="77777777" w:rsidR="001D20D7" w:rsidRDefault="001D20D7">
      <w:r>
        <w:separator/>
      </w:r>
    </w:p>
  </w:footnote>
  <w:footnote w:type="continuationSeparator" w:id="0">
    <w:p w14:paraId="19FC8286" w14:textId="77777777" w:rsidR="001D20D7" w:rsidRDefault="001D2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D5563"/>
    <w:multiLevelType w:val="hybridMultilevel"/>
    <w:tmpl w:val="EA9CF5F6"/>
    <w:lvl w:ilvl="0" w:tplc="908A7146">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8"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40277"/>
    <w:multiLevelType w:val="hybridMultilevel"/>
    <w:tmpl w:val="85DE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9"/>
  </w:num>
  <w:num w:numId="3">
    <w:abstractNumId w:val="20"/>
  </w:num>
  <w:num w:numId="4">
    <w:abstractNumId w:val="25"/>
  </w:num>
  <w:num w:numId="5">
    <w:abstractNumId w:val="18"/>
  </w:num>
  <w:num w:numId="6">
    <w:abstractNumId w:val="17"/>
  </w:num>
  <w:num w:numId="7">
    <w:abstractNumId w:val="24"/>
  </w:num>
  <w:num w:numId="8">
    <w:abstractNumId w:val="14"/>
  </w:num>
  <w:num w:numId="9">
    <w:abstractNumId w:val="4"/>
  </w:num>
  <w:num w:numId="10">
    <w:abstractNumId w:val="10"/>
  </w:num>
  <w:num w:numId="11">
    <w:abstractNumId w:val="9"/>
  </w:num>
  <w:num w:numId="12">
    <w:abstractNumId w:val="35"/>
  </w:num>
  <w:num w:numId="13">
    <w:abstractNumId w:val="30"/>
  </w:num>
  <w:num w:numId="14">
    <w:abstractNumId w:val="11"/>
  </w:num>
  <w:num w:numId="15">
    <w:abstractNumId w:val="19"/>
  </w:num>
  <w:num w:numId="16">
    <w:abstractNumId w:val="7"/>
  </w:num>
  <w:num w:numId="17">
    <w:abstractNumId w:val="6"/>
  </w:num>
  <w:num w:numId="18">
    <w:abstractNumId w:val="29"/>
  </w:num>
  <w:num w:numId="19">
    <w:abstractNumId w:val="3"/>
  </w:num>
  <w:num w:numId="20">
    <w:abstractNumId w:val="31"/>
  </w:num>
  <w:num w:numId="21">
    <w:abstractNumId w:val="13"/>
  </w:num>
  <w:num w:numId="22">
    <w:abstractNumId w:val="38"/>
  </w:num>
  <w:num w:numId="23">
    <w:abstractNumId w:val="16"/>
  </w:num>
  <w:num w:numId="24">
    <w:abstractNumId w:val="12"/>
  </w:num>
  <w:num w:numId="25">
    <w:abstractNumId w:val="34"/>
  </w:num>
  <w:num w:numId="26">
    <w:abstractNumId w:val="23"/>
  </w:num>
  <w:num w:numId="27">
    <w:abstractNumId w:val="10"/>
  </w:num>
  <w:num w:numId="28">
    <w:abstractNumId w:val="10"/>
  </w:num>
  <w:num w:numId="29">
    <w:abstractNumId w:val="5"/>
  </w:num>
  <w:num w:numId="30">
    <w:abstractNumId w:val="8"/>
  </w:num>
  <w:num w:numId="31">
    <w:abstractNumId w:val="21"/>
  </w:num>
  <w:num w:numId="32">
    <w:abstractNumId w:val="27"/>
  </w:num>
  <w:num w:numId="33">
    <w:abstractNumId w:val="26"/>
  </w:num>
  <w:num w:numId="34">
    <w:abstractNumId w:val="22"/>
  </w:num>
  <w:num w:numId="35">
    <w:abstractNumId w:val="36"/>
  </w:num>
  <w:num w:numId="36">
    <w:abstractNumId w:val="32"/>
  </w:num>
  <w:num w:numId="37">
    <w:abstractNumId w:val="37"/>
  </w:num>
  <w:num w:numId="38">
    <w:abstractNumId w:val="33"/>
  </w:num>
  <w:num w:numId="39">
    <w:abstractNumId w:val="1"/>
  </w:num>
  <w:num w:numId="40">
    <w:abstractNumId w:val="0"/>
  </w:num>
  <w:num w:numId="41">
    <w:abstractNumId w:val="2"/>
  </w:num>
  <w:num w:numId="4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7D9"/>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211C"/>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AED"/>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92B"/>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2D8"/>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69E"/>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1DDE"/>
    <w:rsid w:val="009321E6"/>
    <w:rsid w:val="0093234D"/>
    <w:rsid w:val="0093336C"/>
    <w:rsid w:val="009335CA"/>
    <w:rsid w:val="00933951"/>
    <w:rsid w:val="00934469"/>
    <w:rsid w:val="00934643"/>
    <w:rsid w:val="00934780"/>
    <w:rsid w:val="009348A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D71"/>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015"/>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9880753">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1381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D9DA3-B533-451B-B017-794CC3C7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992</Words>
  <Characters>5661</Characters>
  <Application>Microsoft Office Word</Application>
  <DocSecurity>0</DocSecurity>
  <Lines>47</Lines>
  <Paragraphs>13</Paragraphs>
  <ScaleCrop>false</ScaleCrop>
  <Company>Vivo</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18</cp:revision>
  <cp:lastPrinted>2011-08-03T09:36:00Z</cp:lastPrinted>
  <dcterms:created xsi:type="dcterms:W3CDTF">2021-10-01T05:01:00Z</dcterms:created>
  <dcterms:modified xsi:type="dcterms:W3CDTF">2021-11-05T14:35:00Z</dcterms:modified>
</cp:coreProperties>
</file>